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3C3B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龟兹博物馆佛教文化展区重点文物清单</w:t>
      </w:r>
    </w:p>
    <w:p w14:paraId="0BC909A0">
      <w:pPr>
        <w:numPr>
          <w:ilvl w:val="0"/>
          <w:numId w:val="1"/>
        </w:numPr>
        <w:rPr>
          <w:rFonts w:hint="eastAsia" w:ascii="微软雅黑" w:hAnsi="微软雅黑" w:eastAsia="微软雅黑" w:cs="微软雅黑"/>
          <w:lang w:val="en-US" w:eastAsia="zh-CN"/>
        </w:rPr>
      </w:pPr>
      <w:r>
        <w:rPr>
          <w:rFonts w:hint="eastAsia" w:ascii="微软雅黑" w:hAnsi="微软雅黑" w:eastAsia="微软雅黑" w:cs="微软雅黑"/>
          <w:i w:val="0"/>
          <w:iCs w:val="0"/>
          <w:caps w:val="0"/>
          <w:color w:val="404040"/>
          <w:spacing w:val="0"/>
          <w:sz w:val="27"/>
          <w:szCs w:val="27"/>
        </w:rPr>
        <w:t>泥塑菩萨头像</w:t>
      </w:r>
      <w:r>
        <w:rPr>
          <w:rFonts w:hint="eastAsia" w:ascii="微软雅黑" w:hAnsi="微软雅黑" w:eastAsia="微软雅黑" w:cs="微软雅黑"/>
          <w:i w:val="0"/>
          <w:iCs w:val="0"/>
          <w:caps w:val="0"/>
          <w:color w:val="404040"/>
          <w:spacing w:val="0"/>
          <w:sz w:val="27"/>
          <w:szCs w:val="27"/>
          <w:lang w:eastAsia="zh-CN"/>
        </w:rPr>
        <w:t>：</w:t>
      </w:r>
      <w:r>
        <w:rPr>
          <w:rFonts w:hint="eastAsia" w:ascii="微软雅黑" w:hAnsi="微软雅黑" w:eastAsia="微软雅黑" w:cs="微软雅黑"/>
          <w:i w:val="0"/>
          <w:iCs w:val="0"/>
          <w:caps w:val="0"/>
          <w:color w:val="404040"/>
          <w:spacing w:val="0"/>
          <w:sz w:val="27"/>
          <w:szCs w:val="27"/>
          <w:lang w:val="en-US" w:eastAsia="zh-CN"/>
        </w:rPr>
        <w:t>出土于库木吐喇千佛洞，现珍藏于日本东京国立博物馆。</w:t>
      </w:r>
      <w:r>
        <w:rPr>
          <w:rFonts w:hint="eastAsia" w:ascii="微软雅黑" w:hAnsi="微软雅黑" w:eastAsia="微软雅黑" w:cs="微软雅黑"/>
          <w:i w:val="0"/>
          <w:iCs w:val="0"/>
          <w:caps w:val="0"/>
          <w:color w:val="404040"/>
          <w:spacing w:val="0"/>
          <w:sz w:val="27"/>
          <w:szCs w:val="27"/>
        </w:rPr>
        <w:t>公元七世纪的龟兹佛教雕塑。从泥塑菩萨的整体造型来看，龟兹造像对印度传入的风格，并未简单地照搬和模仿，而是形成了鲜明的“龟兹”特色。早期犍陀罗造像面部的髭须和健硕有力的男性风格，逐步在龟兹地区渐渐淡化，柔美的女性特征和唐人风格逐渐融入造像。</w:t>
      </w:r>
    </w:p>
    <w:p w14:paraId="7E2FD05C">
      <w:pPr>
        <w:numPr>
          <w:numId w:val="0"/>
        </w:numPr>
        <w:rPr>
          <w:rFonts w:hint="eastAsia" w:ascii="微软雅黑" w:hAnsi="微软雅黑" w:eastAsia="微软雅黑" w:cs="微软雅黑"/>
          <w:lang w:val="en-US" w:eastAsia="zh-CN"/>
        </w:rPr>
      </w:pPr>
      <w:r>
        <w:rPr>
          <w:rFonts w:hint="eastAsia" w:ascii="微软雅黑" w:hAnsi="微软雅黑" w:eastAsia="微软雅黑" w:cs="微软雅黑"/>
          <w:sz w:val="24"/>
          <w:szCs w:val="24"/>
        </w:rPr>
        <w:drawing>
          <wp:inline distT="0" distB="0" distL="114300" distR="114300">
            <wp:extent cx="3149600" cy="3918585"/>
            <wp:effectExtent l="0" t="0" r="1270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149600" cy="3918585"/>
                    </a:xfrm>
                    <a:prstGeom prst="rect">
                      <a:avLst/>
                    </a:prstGeom>
                    <a:noFill/>
                    <a:ln w="9525">
                      <a:noFill/>
                    </a:ln>
                  </pic:spPr>
                </pic:pic>
              </a:graphicData>
            </a:graphic>
          </wp:inline>
        </w:drawing>
      </w:r>
    </w:p>
    <w:p w14:paraId="5497623B">
      <w:pPr>
        <w:numPr>
          <w:ilvl w:val="0"/>
          <w:numId w:val="1"/>
        </w:numPr>
        <w:jc w:val="left"/>
        <w:rPr>
          <w:rFonts w:hint="eastAsia" w:ascii="微软雅黑" w:hAnsi="微软雅黑" w:eastAsia="微软雅黑" w:cs="微软雅黑"/>
          <w:i w:val="0"/>
          <w:iCs w:val="0"/>
          <w:caps w:val="0"/>
          <w:color w:val="404040"/>
          <w:spacing w:val="0"/>
          <w:sz w:val="27"/>
          <w:szCs w:val="27"/>
        </w:rPr>
      </w:pPr>
      <w:bookmarkStart w:id="0" w:name="OLE_LINK1"/>
      <w:r>
        <w:rPr>
          <w:rFonts w:hint="eastAsia" w:ascii="微软雅黑" w:hAnsi="微软雅黑" w:eastAsia="微软雅黑" w:cs="微软雅黑"/>
          <w:i w:val="0"/>
          <w:iCs w:val="0"/>
          <w:caps w:val="0"/>
          <w:color w:val="404040"/>
          <w:spacing w:val="0"/>
          <w:sz w:val="27"/>
          <w:szCs w:val="27"/>
        </w:rPr>
        <w:t>木雕坐佛，南北朝至唐时期的佛教文物，出土于新疆阿克苏地区新和县桑塔木佛寺遗址，该遗址经专家初步判断为驻军屯田使用的佛寺。</w:t>
      </w:r>
    </w:p>
    <w:p w14:paraId="27E03026">
      <w:pPr>
        <w:numPr>
          <w:numId w:val="0"/>
        </w:numPr>
        <w:ind w:firstLine="540" w:firstLineChars="200"/>
        <w:jc w:val="left"/>
        <w:rPr>
          <w:rFonts w:hint="eastAsia" w:ascii="微软雅黑" w:hAnsi="微软雅黑" w:eastAsia="微软雅黑" w:cs="微软雅黑"/>
          <w:i w:val="0"/>
          <w:iCs w:val="0"/>
          <w:caps w:val="0"/>
          <w:color w:val="404040"/>
          <w:spacing w:val="0"/>
          <w:sz w:val="27"/>
          <w:szCs w:val="27"/>
        </w:rPr>
      </w:pPr>
      <w:r>
        <w:rPr>
          <w:rFonts w:hint="eastAsia" w:ascii="微软雅黑" w:hAnsi="微软雅黑" w:eastAsia="微软雅黑" w:cs="微软雅黑"/>
          <w:i w:val="0"/>
          <w:iCs w:val="0"/>
          <w:caps w:val="0"/>
          <w:color w:val="404040"/>
          <w:spacing w:val="0"/>
          <w:sz w:val="27"/>
          <w:szCs w:val="27"/>
        </w:rPr>
        <w:t>木雕坐佛，佛像呈坐姿，身着通肩圆领袈裟，结跏跌坐，双手置于腿上，作法印状。头部梳圆髻，面部雕刻精细。木雕坐佛的姿态，与内地洛阳龙门等地石窟的佛像极其相似，这正说明了佛教东传，以及东西文化相互融合的联系。</w:t>
      </w:r>
    </w:p>
    <w:bookmarkEnd w:id="0"/>
    <w:p w14:paraId="53BBA840">
      <w:pPr>
        <w:numPr>
          <w:numId w:val="0"/>
        </w:numP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2738755" cy="4129405"/>
            <wp:effectExtent l="0" t="0" r="4445" b="444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2738755" cy="4129405"/>
                    </a:xfrm>
                    <a:prstGeom prst="rect">
                      <a:avLst/>
                    </a:prstGeom>
                    <a:noFill/>
                    <a:ln w="9525">
                      <a:noFill/>
                    </a:ln>
                  </pic:spPr>
                </pic:pic>
              </a:graphicData>
            </a:graphic>
          </wp:inline>
        </w:drawing>
      </w:r>
    </w:p>
    <w:p w14:paraId="5228A5AB">
      <w:pPr>
        <w:keepNext w:val="0"/>
        <w:keepLines w:val="0"/>
        <w:widowControl/>
        <w:numPr>
          <w:ilvl w:val="0"/>
          <w:numId w:val="1"/>
        </w:numPr>
        <w:suppressLineNumbers w:val="0"/>
        <w:ind w:left="0" w:leftChars="0" w:firstLine="0" w:firstLineChars="0"/>
        <w:jc w:val="left"/>
        <w:rPr>
          <w:rFonts w:hint="eastAsia" w:ascii="微软雅黑" w:hAnsi="微软雅黑" w:eastAsia="微软雅黑" w:cs="微软雅黑"/>
          <w:i w:val="0"/>
          <w:iCs w:val="0"/>
          <w:caps w:val="0"/>
          <w:color w:val="404040"/>
          <w:spacing w:val="0"/>
          <w:sz w:val="27"/>
          <w:szCs w:val="27"/>
        </w:rPr>
      </w:pPr>
      <w:r>
        <w:rPr>
          <w:rFonts w:hint="eastAsia" w:ascii="微软雅黑" w:hAnsi="微软雅黑" w:eastAsia="微软雅黑" w:cs="微软雅黑"/>
          <w:sz w:val="24"/>
          <w:szCs w:val="24"/>
          <w:lang w:val="en-US" w:eastAsia="zh-CN"/>
        </w:rPr>
        <w:t>苏</w:t>
      </w:r>
      <w:r>
        <w:rPr>
          <w:rFonts w:hint="eastAsia" w:ascii="微软雅黑" w:hAnsi="微软雅黑" w:eastAsia="微软雅黑" w:cs="微软雅黑"/>
          <w:i w:val="0"/>
          <w:iCs w:val="0"/>
          <w:caps w:val="0"/>
          <w:color w:val="404040"/>
          <w:spacing w:val="0"/>
          <w:sz w:val="27"/>
          <w:szCs w:val="27"/>
          <w:lang w:val="en-US" w:eastAsia="zh-CN"/>
        </w:rPr>
        <w:t>幕遮舍利盒 ，现藏于</w:t>
      </w:r>
      <w:r>
        <w:rPr>
          <w:rFonts w:hint="eastAsia" w:ascii="微软雅黑" w:hAnsi="微软雅黑" w:eastAsia="微软雅黑" w:cs="微软雅黑"/>
          <w:i w:val="0"/>
          <w:iCs w:val="0"/>
          <w:caps w:val="0"/>
          <w:color w:val="404040"/>
          <w:spacing w:val="0"/>
          <w:sz w:val="27"/>
          <w:szCs w:val="27"/>
        </w:rPr>
        <w:t>日本东京国立博物馆</w:t>
      </w:r>
      <w:r>
        <w:rPr>
          <w:rFonts w:hint="eastAsia" w:ascii="微软雅黑" w:hAnsi="微软雅黑" w:eastAsia="微软雅黑" w:cs="微软雅黑"/>
          <w:i w:val="0"/>
          <w:iCs w:val="0"/>
          <w:caps w:val="0"/>
          <w:color w:val="404040"/>
          <w:spacing w:val="0"/>
          <w:sz w:val="27"/>
          <w:szCs w:val="27"/>
          <w:lang w:eastAsia="zh-CN"/>
        </w:rPr>
        <w:t>，</w:t>
      </w:r>
      <w:r>
        <w:rPr>
          <w:rFonts w:hint="eastAsia" w:ascii="微软雅黑" w:hAnsi="微软雅黑" w:eastAsia="微软雅黑" w:cs="微软雅黑"/>
          <w:i w:val="0"/>
          <w:iCs w:val="0"/>
          <w:caps w:val="0"/>
          <w:color w:val="404040"/>
          <w:spacing w:val="0"/>
          <w:sz w:val="27"/>
          <w:szCs w:val="27"/>
        </w:rPr>
        <w:t>1903年，日本大谷光瑞探险队的渡边哲信和掘贤雄来到库车市龟兹古国的苏巴什佛寺遗址西寺</w:t>
      </w:r>
      <w:r>
        <w:rPr>
          <w:rFonts w:hint="eastAsia" w:ascii="微软雅黑" w:hAnsi="微软雅黑" w:eastAsia="微软雅黑" w:cs="微软雅黑"/>
          <w:i w:val="0"/>
          <w:iCs w:val="0"/>
          <w:caps w:val="0"/>
          <w:color w:val="404040"/>
          <w:spacing w:val="0"/>
          <w:sz w:val="27"/>
          <w:szCs w:val="27"/>
          <w:lang w:val="en-US" w:eastAsia="zh-CN"/>
        </w:rPr>
        <w:t>盗掘并带回日本。</w:t>
      </w:r>
      <w:r>
        <w:rPr>
          <w:rFonts w:hint="eastAsia" w:ascii="微软雅黑" w:hAnsi="微软雅黑" w:eastAsia="微软雅黑" w:cs="微软雅黑"/>
          <w:i w:val="0"/>
          <w:iCs w:val="0"/>
          <w:caps w:val="0"/>
          <w:color w:val="404040"/>
          <w:spacing w:val="0"/>
          <w:sz w:val="27"/>
          <w:szCs w:val="27"/>
        </w:rPr>
        <w:t>从舞蹈者头戴的各种面具和乐舞的气氛等特点来看，舍利盒上所绘内容，是古代西域地区著名的歌舞戏乞寒胡戏，图中所绘乐舞图，不仅为史料中所记述的“苏幕遮“增添了新的佐证，而且对当时龟兹服装、服饰、鞋帽及习俗，皆有形象的描绘。</w:t>
      </w:r>
      <w:r>
        <w:rPr>
          <w:rFonts w:hint="eastAsia" w:ascii="微软雅黑" w:hAnsi="微软雅黑" w:eastAsia="微软雅黑" w:cs="微软雅黑"/>
          <w:i w:val="0"/>
          <w:iCs w:val="0"/>
          <w:caps w:val="0"/>
          <w:color w:val="404040"/>
          <w:spacing w:val="0"/>
          <w:sz w:val="27"/>
          <w:szCs w:val="27"/>
          <w:lang w:val="en-US" w:eastAsia="zh-CN"/>
        </w:rPr>
        <w:t xml:space="preserve"> </w:t>
      </w:r>
    </w:p>
    <w:p w14:paraId="08725C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8" w:lineRule="atLeast"/>
        <w:ind w:left="0" w:right="0" w:firstLine="420"/>
        <w:jc w:val="both"/>
        <w:rPr>
          <w:rFonts w:hint="eastAsia" w:ascii="微软雅黑" w:hAnsi="微软雅黑" w:eastAsia="微软雅黑" w:cs="微软雅黑"/>
          <w:i w:val="0"/>
          <w:iCs w:val="0"/>
          <w:caps w:val="0"/>
          <w:color w:val="404040"/>
          <w:spacing w:val="0"/>
          <w:kern w:val="0"/>
          <w:sz w:val="27"/>
          <w:szCs w:val="27"/>
          <w:lang w:val="en-US" w:eastAsia="zh-CN" w:bidi="ar"/>
        </w:rPr>
      </w:pPr>
      <w:r>
        <w:rPr>
          <w:rFonts w:hint="default" w:ascii="微软雅黑" w:hAnsi="微软雅黑" w:eastAsia="微软雅黑" w:cs="微软雅黑"/>
          <w:i w:val="0"/>
          <w:iCs w:val="0"/>
          <w:caps w:val="0"/>
          <w:color w:val="404040"/>
          <w:spacing w:val="0"/>
          <w:kern w:val="0"/>
          <w:sz w:val="27"/>
          <w:szCs w:val="27"/>
          <w:lang w:val="en-US" w:eastAsia="zh-CN" w:bidi="ar"/>
        </w:rPr>
        <w:t>舍利盒上的乐舞图，是一件十分罕见的反映龟兹音乐舞蹈(歌舞戏)艺术的珍贵形象资料，也是龟兹地区世俗生活的真实写照。画上21人组成的“乐舞团队”生动活泼，有跳舞者、有弹奏乐器者、还有小孩在一旁协舞。人们服饰各异，是一幅典型的龟兹‘苏幕遮’乐舞图。”</w:t>
      </w:r>
    </w:p>
    <w:p w14:paraId="460B9D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68" w:lineRule="atLeast"/>
        <w:ind w:left="0" w:right="0" w:firstLine="420"/>
        <w:jc w:val="both"/>
        <w:rPr>
          <w:rFonts w:hint="default" w:ascii="微软雅黑" w:hAnsi="微软雅黑" w:eastAsia="微软雅黑" w:cs="微软雅黑"/>
          <w:i w:val="0"/>
          <w:iCs w:val="0"/>
          <w:caps w:val="0"/>
          <w:color w:val="404040"/>
          <w:spacing w:val="0"/>
          <w:kern w:val="0"/>
          <w:sz w:val="27"/>
          <w:szCs w:val="27"/>
          <w:lang w:val="en-US" w:eastAsia="zh-CN" w:bidi="ar"/>
        </w:rPr>
      </w:pPr>
      <w:r>
        <w:rPr>
          <w:rFonts w:hint="default" w:ascii="微软雅黑" w:hAnsi="微软雅黑" w:eastAsia="微软雅黑" w:cs="微软雅黑"/>
          <w:i w:val="0"/>
          <w:iCs w:val="0"/>
          <w:caps w:val="0"/>
          <w:color w:val="404040"/>
          <w:spacing w:val="0"/>
          <w:kern w:val="0"/>
          <w:sz w:val="27"/>
          <w:szCs w:val="27"/>
          <w:lang w:val="en-US" w:eastAsia="zh-CN" w:bidi="ar"/>
        </w:rPr>
        <w:t>“苏幕遮”舞沿着丝绸之路传入中原内地。这件舍利盒对于了解和研究古代龟兹地区的世俗生活、宗教信仰、审美情趣和艺术追求提供了珍贵的实物证据。据了解，这件舍利盒目前存于日本东京国立博物馆</w:t>
      </w:r>
    </w:p>
    <w:p w14:paraId="6182C902">
      <w:pPr>
        <w:keepNext w:val="0"/>
        <w:keepLines w:val="0"/>
        <w:widowControl/>
        <w:numPr>
          <w:numId w:val="0"/>
        </w:numPr>
        <w:suppressLineNumbers w:val="0"/>
        <w:ind w:leftChars="0"/>
        <w:jc w:val="left"/>
      </w:pPr>
      <w:r>
        <w:rPr>
          <w:rFonts w:ascii="宋体" w:hAnsi="宋体" w:eastAsia="宋体" w:cs="宋体"/>
          <w:sz w:val="24"/>
          <w:szCs w:val="24"/>
        </w:rPr>
        <w:drawing>
          <wp:inline distT="0" distB="0" distL="114300" distR="114300">
            <wp:extent cx="5543550" cy="1931670"/>
            <wp:effectExtent l="0" t="0" r="0"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543550" cy="1931670"/>
                    </a:xfrm>
                    <a:prstGeom prst="rect">
                      <a:avLst/>
                    </a:prstGeom>
                    <a:noFill/>
                    <a:ln w="9525">
                      <a:noFill/>
                    </a:ln>
                  </pic:spPr>
                </pic:pic>
              </a:graphicData>
            </a:graphic>
          </wp:inline>
        </w:drawing>
      </w:r>
    </w:p>
    <w:p w14:paraId="282D144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286500" cy="6286500"/>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6286500" cy="6286500"/>
                    </a:xfrm>
                    <a:prstGeom prst="rect">
                      <a:avLst/>
                    </a:prstGeom>
                    <a:noFill/>
                    <a:ln w="9525">
                      <a:noFill/>
                    </a:ln>
                  </pic:spPr>
                </pic:pic>
              </a:graphicData>
            </a:graphic>
          </wp:inline>
        </w:drawing>
      </w:r>
    </w:p>
    <w:p w14:paraId="2D9831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286500" cy="6276975"/>
            <wp:effectExtent l="0" t="0" r="0"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6286500" cy="6276975"/>
                    </a:xfrm>
                    <a:prstGeom prst="rect">
                      <a:avLst/>
                    </a:prstGeom>
                    <a:noFill/>
                    <a:ln w="9525">
                      <a:noFill/>
                    </a:ln>
                  </pic:spPr>
                </pic:pic>
              </a:graphicData>
            </a:graphic>
          </wp:inline>
        </w:drawing>
      </w:r>
    </w:p>
    <w:p w14:paraId="48E22F5D">
      <w:pPr>
        <w:keepNext w:val="0"/>
        <w:keepLines w:val="0"/>
        <w:widowControl/>
        <w:suppressLineNumbers w:val="0"/>
        <w:jc w:val="left"/>
        <w:rPr>
          <w:rFonts w:ascii="宋体" w:hAnsi="宋体" w:eastAsia="宋体" w:cs="宋体"/>
          <w:kern w:val="0"/>
          <w:sz w:val="24"/>
          <w:szCs w:val="24"/>
          <w:lang w:val="en-US" w:eastAsia="zh-CN" w:bidi="ar"/>
        </w:rPr>
      </w:pPr>
    </w:p>
    <w:p w14:paraId="528FB4E7">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8F9F9"/>
        <w:spacing w:before="240" w:beforeAutospacing="0" w:after="240" w:afterAutospacing="0"/>
        <w:ind w:left="0" w:leftChars="0" w:right="0" w:firstLine="0" w:firstLineChars="0"/>
        <w:jc w:val="left"/>
        <w:rPr>
          <w:rFonts w:hint="default" w:ascii="微软雅黑" w:hAnsi="微软雅黑" w:eastAsia="微软雅黑" w:cs="微软雅黑"/>
          <w:kern w:val="0"/>
          <w:sz w:val="24"/>
          <w:szCs w:val="24"/>
          <w:lang w:val="en-US" w:eastAsia="zh-CN" w:bidi="ar"/>
        </w:rPr>
      </w:pPr>
      <w:bookmarkStart w:id="1" w:name="OLE_LINK2"/>
      <w:r>
        <w:rPr>
          <w:rFonts w:hint="default" w:ascii="微软雅黑" w:hAnsi="微软雅黑" w:eastAsia="微软雅黑" w:cs="微软雅黑"/>
          <w:kern w:val="0"/>
          <w:sz w:val="24"/>
          <w:szCs w:val="24"/>
          <w:lang w:val="en-US" w:eastAsia="zh-CN" w:bidi="ar"/>
        </w:rPr>
        <w:t>佛传故事“茶毗”影像   第205窟后室前壁，原藏德国柏林民族学博物馆，在第二次世界大战中遗失</w:t>
      </w:r>
      <w:r>
        <w:rPr>
          <w:rFonts w:hint="eastAsia" w:ascii="微软雅黑" w:hAnsi="微软雅黑" w:eastAsia="微软雅黑" w:cs="微软雅黑"/>
          <w:kern w:val="0"/>
          <w:sz w:val="24"/>
          <w:szCs w:val="24"/>
          <w:lang w:val="en-US" w:eastAsia="zh-CN" w:bidi="ar"/>
        </w:rPr>
        <w:t>，</w:t>
      </w:r>
      <w:r>
        <w:rPr>
          <w:rFonts w:hint="default" w:ascii="微软雅黑" w:hAnsi="微软雅黑" w:eastAsia="微软雅黑" w:cs="微软雅黑"/>
          <w:kern w:val="0"/>
          <w:sz w:val="24"/>
          <w:szCs w:val="24"/>
          <w:lang w:val="en-US" w:eastAsia="zh-CN" w:bidi="ar"/>
        </w:rPr>
        <w:t>19世纪末至20世纪初外国探险队，在龟兹盗劫了大量壁画、泥塑。这些来自俄国、英国、法国、德国、日本等国的探险队先后到克孜尔石窟进行考察探险活动，这些探险队或多或少都从这里带走了壁画、彩塑等珍贵文物。</w:t>
      </w:r>
    </w:p>
    <w:bookmarkEnd w:id="1"/>
    <w:p w14:paraId="109AFE00">
      <w:pPr>
        <w:keepNext w:val="0"/>
        <w:keepLines w:val="0"/>
        <w:widowControl/>
        <w:suppressLineNumbers w:val="0"/>
        <w:jc w:val="left"/>
        <w:rPr>
          <w:rFonts w:ascii="宋体" w:hAnsi="宋体" w:eastAsia="宋体" w:cs="宋体"/>
          <w:kern w:val="0"/>
          <w:sz w:val="24"/>
          <w:szCs w:val="24"/>
          <w:lang w:val="en-US" w:eastAsia="zh-CN" w:bidi="ar"/>
        </w:rPr>
      </w:pPr>
    </w:p>
    <w:p w14:paraId="4D3D6E23">
      <w:pPr>
        <w:keepNext w:val="0"/>
        <w:keepLines w:val="0"/>
        <w:widowControl/>
        <w:suppressLineNumbers w:val="0"/>
        <w:pBdr>
          <w:top w:val="none" w:color="auto" w:sz="0" w:space="0"/>
          <w:left w:val="none" w:color="auto" w:sz="0" w:space="0"/>
          <w:bottom w:val="none" w:color="auto" w:sz="0" w:space="0"/>
          <w:right w:val="none" w:color="auto" w:sz="0" w:space="0"/>
        </w:pBdr>
        <w:shd w:val="clear" w:fill="F8F9F9"/>
        <w:spacing w:before="0" w:beforeAutospacing="0" w:after="0" w:afterAutospacing="0"/>
        <w:ind w:left="0" w:right="0" w:firstLine="0"/>
        <w:jc w:val="center"/>
        <w:rPr>
          <w:rFonts w:ascii="MicrosoftYaHei" w:hAnsi="MicrosoftYaHei" w:eastAsia="MicrosoftYaHei" w:cs="MicrosoftYaHei"/>
          <w:i w:val="0"/>
          <w:iCs w:val="0"/>
          <w:caps w:val="0"/>
          <w:color w:val="333333"/>
          <w:spacing w:val="8"/>
          <w:sz w:val="24"/>
          <w:szCs w:val="24"/>
        </w:rPr>
      </w:pPr>
      <w:r>
        <w:rPr>
          <w:rFonts w:hint="default" w:ascii="MicrosoftYaHei" w:hAnsi="MicrosoftYaHei" w:eastAsia="MicrosoftYaHei" w:cs="MicrosoftYaHei"/>
          <w:i w:val="0"/>
          <w:iCs w:val="0"/>
          <w:caps w:val="0"/>
          <w:color w:val="333333"/>
          <w:spacing w:val="8"/>
          <w:kern w:val="0"/>
          <w:sz w:val="24"/>
          <w:szCs w:val="24"/>
          <w:bdr w:val="none" w:color="auto" w:sz="0" w:space="0"/>
          <w:shd w:val="clear" w:fill="F8F9F9"/>
          <w:lang w:val="en-US" w:eastAsia="zh-CN" w:bidi="ar"/>
        </w:rPr>
        <w:drawing>
          <wp:inline distT="0" distB="0" distL="114300" distR="114300">
            <wp:extent cx="5715000" cy="381000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5715000" cy="3810000"/>
                    </a:xfrm>
                    <a:prstGeom prst="rect">
                      <a:avLst/>
                    </a:prstGeom>
                    <a:noFill/>
                    <a:ln w="9525">
                      <a:noFill/>
                    </a:ln>
                  </pic:spPr>
                </pic:pic>
              </a:graphicData>
            </a:graphic>
          </wp:inline>
        </w:drawing>
      </w:r>
    </w:p>
    <w:p w14:paraId="6AE7C32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8F9F9"/>
        <w:spacing w:before="240" w:beforeAutospacing="0" w:after="240" w:afterAutospacing="0"/>
        <w:ind w:left="0" w:leftChars="0" w:right="0" w:firstLine="0" w:firstLineChars="0"/>
        <w:jc w:val="left"/>
        <w:rPr>
          <w:rFonts w:hint="default"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铜莲花，出土于库车苏巴什佛寺遗址，2016年西北大学考古人员出土了140多件文物。其中第一次发现了铜莲花，还有大量用于供奉佛像的器物及装饰品，这也印证了唐代佛教在龟兹国的盛行。</w:t>
      </w:r>
    </w:p>
    <w:p w14:paraId="491DA1E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8F9F9"/>
        <w:spacing w:before="240" w:beforeAutospacing="0" w:after="240" w:afterAutospacing="0"/>
        <w:ind w:leftChars="0" w:right="0" w:rightChars="0"/>
        <w:jc w:val="left"/>
        <w:rPr>
          <w:rFonts w:hint="default" w:ascii="微软雅黑" w:hAnsi="微软雅黑" w:eastAsia="微软雅黑" w:cs="微软雅黑"/>
          <w:kern w:val="0"/>
          <w:sz w:val="24"/>
          <w:szCs w:val="24"/>
          <w:lang w:val="en-US" w:eastAsia="zh-CN" w:bidi="ar"/>
        </w:rPr>
      </w:pPr>
      <w:r>
        <w:rPr>
          <w:rFonts w:hint="eastAsia" w:ascii="微软雅黑" w:hAnsi="微软雅黑" w:eastAsia="微软雅黑" w:cs="微软雅黑"/>
          <w:kern w:val="0"/>
          <w:sz w:val="24"/>
          <w:szCs w:val="24"/>
          <w:lang w:val="en-US" w:eastAsia="zh-CN" w:bidi="ar"/>
        </w:rPr>
        <w:t>（图片待补充）</w:t>
      </w:r>
      <w:bookmarkStart w:id="2" w:name="_GoBack"/>
      <w:bookmarkEnd w:id="2"/>
    </w:p>
    <w:p w14:paraId="061A68F0">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8F9F9"/>
        <w:spacing w:before="240" w:beforeAutospacing="0" w:after="240" w:afterAutospacing="0"/>
        <w:ind w:leftChars="0" w:right="0" w:rightChars="0"/>
        <w:jc w:val="left"/>
        <w:rPr>
          <w:rFonts w:hint="default" w:ascii="微软雅黑" w:hAnsi="微软雅黑" w:eastAsia="微软雅黑" w:cs="微软雅黑"/>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Ya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D840B8"/>
    <w:multiLevelType w:val="singleLevel"/>
    <w:tmpl w:val="EED840B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JmNjg3MjU1OGY4YTFjYTU1MTk1YmJiZTVkYjllNjgifQ=="/>
  </w:docVars>
  <w:rsids>
    <w:rsidRoot w:val="262C746D"/>
    <w:rsid w:val="262C7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26</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2024-10-21T10:24:00Z</dcterms:created>
  <dc:creator>之</dc:creator>
  <cp:lastModifiedBy>之</cp:lastModifiedBy>
  <dcterms:modified xsi:type="dcterms:W3CDTF">2024-10-21T10:55:14Z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2A203064375048CBA8BD28D7CE218AB0_11</vt:lpwstr>
  </property>
</Properties>
</file>