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一、持仓及损益展示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1、包含T+1准确计算，T+0预估计算，参考summit前置报表及量锐损益统计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支持不同口径的损益计算：包括总损益、扣除资金成本的损益、价差及公允价值</w:t>
      </w:r>
    </w:p>
    <w:p>
      <w:r>
        <w:drawing>
          <wp:inline distT="0" distB="0" distL="114300" distR="114300">
            <wp:extent cx="5267325" cy="1841500"/>
            <wp:effectExtent l="0" t="0" r="952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4785" cy="1690370"/>
            <wp:effectExtent l="0" t="0" r="1206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69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2、生成持仓以及损益的时间序列（利润数额或利润率均可）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1705610"/>
            <wp:effectExtent l="0" t="0" r="8890" b="889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0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情景分析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针对当前的市场，可以对曲线或者个券计算，对于市场上行或下行产生的持有期收益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1851660"/>
            <wp:effectExtent l="0" t="0" r="2540" b="1524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三、利差策略监控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2678430"/>
            <wp:effectExtent l="0" t="0" r="2540" b="762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77EE8B"/>
    <w:multiLevelType w:val="singleLevel"/>
    <w:tmpl w:val="3D77EE8B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1755D"/>
    <w:rsid w:val="04380FAE"/>
    <w:rsid w:val="24B85F0F"/>
    <w:rsid w:val="413B54C9"/>
    <w:rsid w:val="60FA2528"/>
    <w:rsid w:val="78CB0593"/>
    <w:rsid w:val="7EE04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</TotalTime>
  <ScaleCrop>false</ScaleCrop>
  <LinksUpToDate>false</LinksUpToDate>
  <CharactersWithSpaces>0</CharactersWithSpaces>
  <Application>WPS Office_11.8.2.11734_F1E327BC-269C-435d-A152-05C5408002CA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2026-03-24T07:24:00Z</dcterms:created>
  <dc:creator>Administrator</dc:creator>
  <cp:lastModifiedBy>Administrator</cp:lastModifiedBy>
  <dcterms:modified xsi:type="dcterms:W3CDTF">2026-03-27T08:20:55Z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2052-11.8.2.11734</vt:lpwstr>
  </property>
  <property fmtid="{D5CDD505-2E9C-101B-9397-08002B2CF9AE}" pid="3" name="ICV">
    <vt:lpwstr>9DF708C353344297AB5AF09C44C8A36A</vt:lpwstr>
  </property>
</Properties>
</file>