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C5E61"/>
    <w:p w14:paraId="00C34609"/>
    <w:p w14:paraId="52DF2EAB"/>
    <w:p w14:paraId="130F6F82"/>
    <w:p w14:paraId="6D4AFD39"/>
    <w:p w14:paraId="5537F253"/>
    <w:p w14:paraId="70C11513">
      <w:pPr>
        <w:jc w:val="center"/>
      </w:pPr>
    </w:p>
    <w:p w14:paraId="1C5F6166">
      <w:pPr>
        <w:jc w:val="center"/>
      </w:pPr>
    </w:p>
    <w:p w14:paraId="7BF4F50F">
      <w:pPr>
        <w:jc w:val="center"/>
      </w:pPr>
    </w:p>
    <w:p w14:paraId="5E3A0CF6">
      <w:pPr>
        <w:jc w:val="center"/>
        <w:rPr>
          <w:rFonts w:hint="eastAsia" w:ascii="黑体" w:hAnsi="黑体" w:eastAsia="黑体"/>
          <w:sz w:val="72"/>
        </w:rPr>
      </w:pPr>
      <w:r>
        <w:rPr>
          <w:rFonts w:hint="eastAsia" w:ascii="黑体" w:hAnsi="黑体" w:eastAsia="黑体"/>
          <w:sz w:val="72"/>
        </w:rPr>
        <w:t>业务需求说明书</w:t>
      </w:r>
    </w:p>
    <w:p w14:paraId="46037C42">
      <w:pPr>
        <w:jc w:val="center"/>
        <w:rPr>
          <w:b/>
          <w:sz w:val="28"/>
        </w:rPr>
        <w:sectPr>
          <w:headerReference r:id="rId3" w:type="default"/>
          <w:footerReference r:id="rId4" w:type="default"/>
          <w:pgSz w:w="11906" w:h="16838"/>
          <w:pgMar w:top="1418" w:right="1701" w:bottom="1418" w:left="1701" w:header="851" w:footer="992" w:gutter="0"/>
          <w:pgNumType w:start="1"/>
          <w:cols w:space="425" w:num="1"/>
          <w:docGrid w:linePitch="312" w:charSpace="0"/>
        </w:sectPr>
      </w:pPr>
    </w:p>
    <w:p w14:paraId="70220CEA">
      <w:pPr>
        <w:jc w:val="center"/>
        <w:rPr>
          <w:b/>
          <w:sz w:val="28"/>
        </w:rPr>
      </w:pPr>
    </w:p>
    <w:p w14:paraId="5F54E528">
      <w:pPr>
        <w:jc w:val="center"/>
        <w:rPr>
          <w:b/>
          <w:sz w:val="28"/>
        </w:rPr>
      </w:pPr>
      <w:r>
        <w:rPr>
          <w:rFonts w:hint="eastAsia"/>
          <w:b/>
          <w:sz w:val="28"/>
        </w:rPr>
        <w:t>目 录</w:t>
      </w:r>
    </w:p>
    <w:p w14:paraId="1F5052C5">
      <w:pPr>
        <w:pStyle w:val="21"/>
        <w:tabs>
          <w:tab w:val="right" w:leader="dot" w:pos="8504"/>
          <w:tab w:val="clear" w:pos="420"/>
          <w:tab w:val="clear" w:pos="8494"/>
        </w:tabs>
      </w:pPr>
      <w:r>
        <w:rPr>
          <w:rFonts w:ascii="黑体" w:hAnsi="黑体" w:eastAsia="黑体"/>
          <w:sz w:val="40"/>
        </w:rPr>
        <w:fldChar w:fldCharType="begin"/>
      </w:r>
      <w:r>
        <w:rPr>
          <w:rFonts w:ascii="黑体" w:hAnsi="黑体" w:eastAsia="黑体"/>
          <w:sz w:val="40"/>
        </w:rPr>
        <w:instrText xml:space="preserve"> TOC \o "1-3" \h \z \u </w:instrText>
      </w:r>
      <w:r>
        <w:rPr>
          <w:rFonts w:ascii="黑体" w:hAnsi="黑体" w:eastAsia="黑体"/>
          <w:sz w:val="40"/>
        </w:rPr>
        <w:fldChar w:fldCharType="separate"/>
      </w:r>
      <w:r>
        <w:rPr>
          <w:rFonts w:ascii="黑体" w:hAnsi="黑体" w:eastAsia="黑体"/>
        </w:rPr>
        <w:fldChar w:fldCharType="begin"/>
      </w:r>
      <w:r>
        <w:rPr>
          <w:rFonts w:ascii="黑体" w:hAnsi="黑体" w:eastAsia="黑体"/>
        </w:rPr>
        <w:instrText xml:space="preserve"> HYPERLINK \l _Toc4064 </w:instrText>
      </w:r>
      <w:r>
        <w:rPr>
          <w:rFonts w:ascii="黑体" w:hAnsi="黑体" w:eastAsia="黑体"/>
        </w:rPr>
        <w:fldChar w:fldCharType="separate"/>
      </w:r>
      <w:r>
        <w:t xml:space="preserve">1 </w:t>
      </w:r>
      <w:r>
        <w:rPr>
          <w:rFonts w:hint="eastAsia"/>
        </w:rPr>
        <w:t>需求目标</w:t>
      </w:r>
      <w:r>
        <w:tab/>
      </w:r>
      <w:r>
        <w:fldChar w:fldCharType="begin"/>
      </w:r>
      <w:r>
        <w:instrText xml:space="preserve"> PAGEREF _Toc4064 \h </w:instrText>
      </w:r>
      <w:r>
        <w:fldChar w:fldCharType="separate"/>
      </w:r>
      <w:r>
        <w:t>1</w:t>
      </w:r>
      <w:r>
        <w:fldChar w:fldCharType="end"/>
      </w:r>
      <w:r>
        <w:rPr>
          <w:rFonts w:ascii="黑体" w:hAnsi="黑体" w:eastAsia="黑体"/>
        </w:rPr>
        <w:fldChar w:fldCharType="end"/>
      </w:r>
    </w:p>
    <w:p w14:paraId="1A55359A">
      <w:pPr>
        <w:pStyle w:val="24"/>
        <w:tabs>
          <w:tab w:val="right" w:leader="dot" w:pos="8504"/>
        </w:tabs>
      </w:pPr>
      <w:r>
        <w:rPr>
          <w:rFonts w:ascii="黑体" w:hAnsi="黑体" w:eastAsia="黑体"/>
        </w:rPr>
        <w:fldChar w:fldCharType="begin"/>
      </w:r>
      <w:r>
        <w:rPr>
          <w:rFonts w:ascii="黑体" w:hAnsi="黑体" w:eastAsia="黑体"/>
        </w:rPr>
        <w:instrText xml:space="preserve"> HYPERLINK \l _Toc23387 </w:instrText>
      </w:r>
      <w:r>
        <w:rPr>
          <w:rFonts w:ascii="黑体" w:hAnsi="黑体" w:eastAsia="黑体"/>
        </w:rPr>
        <w:fldChar w:fldCharType="separate"/>
      </w:r>
      <w:r>
        <w:t xml:space="preserve">1.1 </w:t>
      </w:r>
      <w:r>
        <w:rPr>
          <w:rFonts w:hint="eastAsia"/>
        </w:rPr>
        <w:t>需求概述</w:t>
      </w:r>
      <w:r>
        <w:tab/>
      </w:r>
      <w:r>
        <w:fldChar w:fldCharType="begin"/>
      </w:r>
      <w:r>
        <w:instrText xml:space="preserve"> PAGEREF _Toc23387 \h </w:instrText>
      </w:r>
      <w:r>
        <w:fldChar w:fldCharType="separate"/>
      </w:r>
      <w:r>
        <w:t>1</w:t>
      </w:r>
      <w:r>
        <w:fldChar w:fldCharType="end"/>
      </w:r>
      <w:r>
        <w:rPr>
          <w:rFonts w:ascii="黑体" w:hAnsi="黑体" w:eastAsia="黑体"/>
        </w:rPr>
        <w:fldChar w:fldCharType="end"/>
      </w:r>
    </w:p>
    <w:p w14:paraId="227106DA">
      <w:pPr>
        <w:pStyle w:val="21"/>
        <w:tabs>
          <w:tab w:val="right" w:leader="dot" w:pos="8504"/>
          <w:tab w:val="clear" w:pos="420"/>
          <w:tab w:val="clear" w:pos="8494"/>
        </w:tabs>
      </w:pPr>
      <w:r>
        <w:rPr>
          <w:rFonts w:ascii="黑体" w:hAnsi="黑体" w:eastAsia="黑体"/>
        </w:rPr>
        <w:fldChar w:fldCharType="begin"/>
      </w:r>
      <w:r>
        <w:rPr>
          <w:rFonts w:ascii="黑体" w:hAnsi="黑体" w:eastAsia="黑体"/>
        </w:rPr>
        <w:instrText xml:space="preserve"> HYPERLINK \l _Toc27420 </w:instrText>
      </w:r>
      <w:r>
        <w:rPr>
          <w:rFonts w:ascii="黑体" w:hAnsi="黑体" w:eastAsia="黑体"/>
        </w:rPr>
        <w:fldChar w:fldCharType="separate"/>
      </w:r>
      <w:r>
        <w:t xml:space="preserve">2 </w:t>
      </w:r>
      <w:r>
        <w:rPr>
          <w:rFonts w:hint="eastAsia"/>
        </w:rPr>
        <w:t>需求范围</w:t>
      </w:r>
      <w:r>
        <w:tab/>
      </w:r>
      <w:r>
        <w:fldChar w:fldCharType="begin"/>
      </w:r>
      <w:r>
        <w:instrText xml:space="preserve"> PAGEREF _Toc27420 \h </w:instrText>
      </w:r>
      <w:r>
        <w:fldChar w:fldCharType="separate"/>
      </w:r>
      <w:r>
        <w:t>1</w:t>
      </w:r>
      <w:r>
        <w:fldChar w:fldCharType="end"/>
      </w:r>
      <w:r>
        <w:rPr>
          <w:rFonts w:ascii="黑体" w:hAnsi="黑体" w:eastAsia="黑体"/>
        </w:rPr>
        <w:fldChar w:fldCharType="end"/>
      </w:r>
    </w:p>
    <w:p w14:paraId="517C69F7">
      <w:pPr>
        <w:pStyle w:val="24"/>
        <w:tabs>
          <w:tab w:val="right" w:leader="dot" w:pos="8504"/>
        </w:tabs>
      </w:pPr>
      <w:r>
        <w:rPr>
          <w:rFonts w:ascii="黑体" w:hAnsi="黑体" w:eastAsia="黑体"/>
        </w:rPr>
        <w:fldChar w:fldCharType="begin"/>
      </w:r>
      <w:r>
        <w:rPr>
          <w:rFonts w:ascii="黑体" w:hAnsi="黑体" w:eastAsia="黑体"/>
        </w:rPr>
        <w:instrText xml:space="preserve"> HYPERLINK \l _Toc4911 </w:instrText>
      </w:r>
      <w:r>
        <w:rPr>
          <w:rFonts w:ascii="黑体" w:hAnsi="黑体" w:eastAsia="黑体"/>
        </w:rPr>
        <w:fldChar w:fldCharType="separate"/>
      </w:r>
      <w:r>
        <w:t xml:space="preserve">2.1 </w:t>
      </w:r>
      <w:r>
        <w:rPr>
          <w:rFonts w:hint="eastAsia"/>
        </w:rPr>
        <w:t>功能范围</w:t>
      </w:r>
      <w:r>
        <w:tab/>
      </w:r>
      <w:r>
        <w:fldChar w:fldCharType="begin"/>
      </w:r>
      <w:r>
        <w:instrText xml:space="preserve"> PAGEREF _Toc4911 \h </w:instrText>
      </w:r>
      <w:r>
        <w:fldChar w:fldCharType="separate"/>
      </w:r>
      <w:r>
        <w:t>1</w:t>
      </w:r>
      <w:r>
        <w:fldChar w:fldCharType="end"/>
      </w:r>
      <w:r>
        <w:rPr>
          <w:rFonts w:ascii="黑体" w:hAnsi="黑体" w:eastAsia="黑体"/>
        </w:rPr>
        <w:fldChar w:fldCharType="end"/>
      </w:r>
    </w:p>
    <w:p w14:paraId="33BE1D38">
      <w:pPr>
        <w:pStyle w:val="21"/>
        <w:tabs>
          <w:tab w:val="right" w:leader="dot" w:pos="8504"/>
          <w:tab w:val="clear" w:pos="420"/>
          <w:tab w:val="clear" w:pos="8494"/>
        </w:tabs>
      </w:pPr>
      <w:r>
        <w:rPr>
          <w:rFonts w:ascii="黑体" w:hAnsi="黑体" w:eastAsia="黑体"/>
        </w:rPr>
        <w:fldChar w:fldCharType="begin"/>
      </w:r>
      <w:r>
        <w:rPr>
          <w:rFonts w:ascii="黑体" w:hAnsi="黑体" w:eastAsia="黑体"/>
        </w:rPr>
        <w:instrText xml:space="preserve"> HYPERLINK \l _Toc19230 </w:instrText>
      </w:r>
      <w:r>
        <w:rPr>
          <w:rFonts w:ascii="黑体" w:hAnsi="黑体" w:eastAsia="黑体"/>
        </w:rPr>
        <w:fldChar w:fldCharType="separate"/>
      </w:r>
      <w:r>
        <w:t xml:space="preserve">3 </w:t>
      </w:r>
      <w:r>
        <w:rPr>
          <w:rFonts w:hint="eastAsia"/>
        </w:rPr>
        <w:t>业务功能需求</w:t>
      </w:r>
      <w:r>
        <w:tab/>
      </w:r>
      <w:r>
        <w:fldChar w:fldCharType="begin"/>
      </w:r>
      <w:r>
        <w:instrText xml:space="preserve"> PAGEREF _Toc19230 \h </w:instrText>
      </w:r>
      <w:r>
        <w:fldChar w:fldCharType="separate"/>
      </w:r>
      <w:r>
        <w:t>3</w:t>
      </w:r>
      <w:r>
        <w:fldChar w:fldCharType="end"/>
      </w:r>
      <w:r>
        <w:rPr>
          <w:rFonts w:ascii="黑体" w:hAnsi="黑体" w:eastAsia="黑体"/>
        </w:rPr>
        <w:fldChar w:fldCharType="end"/>
      </w:r>
    </w:p>
    <w:p w14:paraId="7EB7D508">
      <w:pPr>
        <w:pStyle w:val="24"/>
        <w:tabs>
          <w:tab w:val="right" w:leader="dot" w:pos="8504"/>
        </w:tabs>
      </w:pPr>
      <w:r>
        <w:rPr>
          <w:rFonts w:ascii="黑体" w:hAnsi="黑体" w:eastAsia="黑体"/>
        </w:rPr>
        <w:fldChar w:fldCharType="begin"/>
      </w:r>
      <w:r>
        <w:rPr>
          <w:rFonts w:ascii="黑体" w:hAnsi="黑体" w:eastAsia="黑体"/>
        </w:rPr>
        <w:instrText xml:space="preserve"> HYPERLINK \l _Toc12360 </w:instrText>
      </w:r>
      <w:r>
        <w:rPr>
          <w:rFonts w:ascii="黑体" w:hAnsi="黑体" w:eastAsia="黑体"/>
        </w:rPr>
        <w:fldChar w:fldCharType="separate"/>
      </w:r>
      <w:r>
        <w:t xml:space="preserve">3.1 </w:t>
      </w:r>
      <w:r>
        <w:rPr>
          <w:rFonts w:hint="eastAsia"/>
        </w:rPr>
        <w:t>用户管理模块</w:t>
      </w:r>
      <w:r>
        <w:tab/>
      </w:r>
      <w:r>
        <w:fldChar w:fldCharType="begin"/>
      </w:r>
      <w:r>
        <w:instrText xml:space="preserve"> PAGEREF _Toc12360 \h </w:instrText>
      </w:r>
      <w:r>
        <w:fldChar w:fldCharType="separate"/>
      </w:r>
      <w:r>
        <w:t>3</w:t>
      </w:r>
      <w:r>
        <w:fldChar w:fldCharType="end"/>
      </w:r>
      <w:r>
        <w:rPr>
          <w:rFonts w:ascii="黑体" w:hAnsi="黑体" w:eastAsia="黑体"/>
        </w:rPr>
        <w:fldChar w:fldCharType="end"/>
      </w:r>
    </w:p>
    <w:p w14:paraId="7E150D59">
      <w:pPr>
        <w:pStyle w:val="16"/>
        <w:tabs>
          <w:tab w:val="right" w:leader="dot" w:pos="8504"/>
        </w:tabs>
      </w:pPr>
      <w:r>
        <w:rPr>
          <w:rFonts w:ascii="黑体" w:hAnsi="黑体" w:eastAsia="黑体"/>
        </w:rPr>
        <w:fldChar w:fldCharType="begin"/>
      </w:r>
      <w:r>
        <w:rPr>
          <w:rFonts w:ascii="黑体" w:hAnsi="黑体" w:eastAsia="黑体"/>
        </w:rPr>
        <w:instrText xml:space="preserve"> HYPERLINK \l _Toc16790 </w:instrText>
      </w:r>
      <w:r>
        <w:rPr>
          <w:rFonts w:ascii="黑体" w:hAnsi="黑体" w:eastAsia="黑体"/>
        </w:rPr>
        <w:fldChar w:fldCharType="separate"/>
      </w:r>
      <w:r>
        <w:t xml:space="preserve">3.1.1 </w:t>
      </w:r>
      <w:r>
        <w:rPr>
          <w:rFonts w:hint="eastAsia"/>
        </w:rPr>
        <w:t>用户机构权限管理</w:t>
      </w:r>
      <w:r>
        <w:tab/>
      </w:r>
      <w:r>
        <w:fldChar w:fldCharType="begin"/>
      </w:r>
      <w:r>
        <w:instrText xml:space="preserve"> PAGEREF _Toc16790 \h </w:instrText>
      </w:r>
      <w:r>
        <w:fldChar w:fldCharType="separate"/>
      </w:r>
      <w:r>
        <w:t>3</w:t>
      </w:r>
      <w:r>
        <w:fldChar w:fldCharType="end"/>
      </w:r>
      <w:r>
        <w:rPr>
          <w:rFonts w:ascii="黑体" w:hAnsi="黑体" w:eastAsia="黑体"/>
        </w:rPr>
        <w:fldChar w:fldCharType="end"/>
      </w:r>
    </w:p>
    <w:p w14:paraId="73161C87">
      <w:pPr>
        <w:pStyle w:val="24"/>
        <w:tabs>
          <w:tab w:val="right" w:leader="dot" w:pos="8504"/>
        </w:tabs>
      </w:pPr>
      <w:r>
        <w:rPr>
          <w:rFonts w:ascii="黑体" w:hAnsi="黑体" w:eastAsia="黑体"/>
        </w:rPr>
        <w:fldChar w:fldCharType="begin"/>
      </w:r>
      <w:r>
        <w:rPr>
          <w:rFonts w:ascii="黑体" w:hAnsi="黑体" w:eastAsia="黑体"/>
        </w:rPr>
        <w:instrText xml:space="preserve"> HYPERLINK \l _Toc21556 </w:instrText>
      </w:r>
      <w:r>
        <w:rPr>
          <w:rFonts w:ascii="黑体" w:hAnsi="黑体" w:eastAsia="黑体"/>
        </w:rPr>
        <w:fldChar w:fldCharType="separate"/>
      </w:r>
      <w:r>
        <w:t xml:space="preserve">3.2 </w:t>
      </w:r>
      <w:r>
        <w:rPr>
          <w:rFonts w:hint="eastAsia"/>
        </w:rPr>
        <w:t>组合管理模块</w:t>
      </w:r>
      <w:r>
        <w:tab/>
      </w:r>
      <w:r>
        <w:fldChar w:fldCharType="begin"/>
      </w:r>
      <w:r>
        <w:instrText xml:space="preserve"> PAGEREF _Toc21556 \h </w:instrText>
      </w:r>
      <w:r>
        <w:fldChar w:fldCharType="separate"/>
      </w:r>
      <w:r>
        <w:t>5</w:t>
      </w:r>
      <w:r>
        <w:fldChar w:fldCharType="end"/>
      </w:r>
      <w:r>
        <w:rPr>
          <w:rFonts w:ascii="黑体" w:hAnsi="黑体" w:eastAsia="黑体"/>
        </w:rPr>
        <w:fldChar w:fldCharType="end"/>
      </w:r>
    </w:p>
    <w:p w14:paraId="5AC3B27A">
      <w:pPr>
        <w:pStyle w:val="16"/>
        <w:tabs>
          <w:tab w:val="right" w:leader="dot" w:pos="8504"/>
        </w:tabs>
      </w:pPr>
      <w:r>
        <w:rPr>
          <w:rFonts w:ascii="黑体" w:hAnsi="黑体" w:eastAsia="黑体"/>
        </w:rPr>
        <w:fldChar w:fldCharType="begin"/>
      </w:r>
      <w:r>
        <w:rPr>
          <w:rFonts w:ascii="黑体" w:hAnsi="黑体" w:eastAsia="黑体"/>
        </w:rPr>
        <w:instrText xml:space="preserve"> HYPERLINK \l _Toc28149 </w:instrText>
      </w:r>
      <w:r>
        <w:rPr>
          <w:rFonts w:ascii="黑体" w:hAnsi="黑体" w:eastAsia="黑体"/>
        </w:rPr>
        <w:fldChar w:fldCharType="separate"/>
      </w:r>
      <w:r>
        <w:t xml:space="preserve">3.2.1 </w:t>
      </w:r>
      <w:r>
        <w:rPr>
          <w:rFonts w:hint="eastAsia"/>
        </w:rPr>
        <w:t>综合管理</w:t>
      </w:r>
      <w:r>
        <w:tab/>
      </w:r>
      <w:r>
        <w:fldChar w:fldCharType="begin"/>
      </w:r>
      <w:r>
        <w:instrText xml:space="preserve"> PAGEREF _Toc28149 \h </w:instrText>
      </w:r>
      <w:r>
        <w:fldChar w:fldCharType="separate"/>
      </w:r>
      <w:r>
        <w:t>5</w:t>
      </w:r>
      <w:r>
        <w:fldChar w:fldCharType="end"/>
      </w:r>
      <w:r>
        <w:rPr>
          <w:rFonts w:ascii="黑体" w:hAnsi="黑体" w:eastAsia="黑体"/>
        </w:rPr>
        <w:fldChar w:fldCharType="end"/>
      </w:r>
    </w:p>
    <w:p w14:paraId="57E8BD4A">
      <w:pPr>
        <w:pStyle w:val="16"/>
        <w:tabs>
          <w:tab w:val="right" w:leader="dot" w:pos="8504"/>
        </w:tabs>
      </w:pPr>
      <w:r>
        <w:rPr>
          <w:rFonts w:ascii="黑体" w:hAnsi="黑体" w:eastAsia="黑体"/>
        </w:rPr>
        <w:fldChar w:fldCharType="begin"/>
      </w:r>
      <w:r>
        <w:rPr>
          <w:rFonts w:ascii="黑体" w:hAnsi="黑体" w:eastAsia="黑体"/>
        </w:rPr>
        <w:instrText xml:space="preserve"> HYPERLINK \l _Toc31830 </w:instrText>
      </w:r>
      <w:r>
        <w:rPr>
          <w:rFonts w:ascii="黑体" w:hAnsi="黑体" w:eastAsia="黑体"/>
        </w:rPr>
        <w:fldChar w:fldCharType="separate"/>
      </w:r>
      <w:r>
        <w:t xml:space="preserve">3.2.2 </w:t>
      </w:r>
      <w:r>
        <w:rPr>
          <w:rFonts w:hint="eastAsia"/>
        </w:rPr>
        <w:t>模拟组合管理</w:t>
      </w:r>
      <w:r>
        <w:tab/>
      </w:r>
      <w:r>
        <w:fldChar w:fldCharType="begin"/>
      </w:r>
      <w:r>
        <w:instrText xml:space="preserve"> PAGEREF _Toc31830 \h </w:instrText>
      </w:r>
      <w:r>
        <w:fldChar w:fldCharType="separate"/>
      </w:r>
      <w:r>
        <w:t>8</w:t>
      </w:r>
      <w:r>
        <w:fldChar w:fldCharType="end"/>
      </w:r>
      <w:r>
        <w:rPr>
          <w:rFonts w:ascii="黑体" w:hAnsi="黑体" w:eastAsia="黑体"/>
        </w:rPr>
        <w:fldChar w:fldCharType="end"/>
      </w:r>
    </w:p>
    <w:p w14:paraId="4EF151F2">
      <w:pPr>
        <w:pStyle w:val="16"/>
        <w:tabs>
          <w:tab w:val="right" w:leader="dot" w:pos="8504"/>
        </w:tabs>
      </w:pPr>
      <w:r>
        <w:rPr>
          <w:rFonts w:ascii="黑体" w:hAnsi="黑体" w:eastAsia="黑体"/>
        </w:rPr>
        <w:fldChar w:fldCharType="begin"/>
      </w:r>
      <w:r>
        <w:rPr>
          <w:rFonts w:ascii="黑体" w:hAnsi="黑体" w:eastAsia="黑体"/>
        </w:rPr>
        <w:instrText xml:space="preserve"> HYPERLINK \l _Toc3319 </w:instrText>
      </w:r>
      <w:r>
        <w:rPr>
          <w:rFonts w:ascii="黑体" w:hAnsi="黑体" w:eastAsia="黑体"/>
        </w:rPr>
        <w:fldChar w:fldCharType="separate"/>
      </w:r>
      <w:r>
        <w:t xml:space="preserve">3.2.3 </w:t>
      </w:r>
      <w:r>
        <w:rPr>
          <w:rFonts w:hint="eastAsia"/>
        </w:rPr>
        <w:t>组合合并/拆分</w:t>
      </w:r>
      <w:r>
        <w:tab/>
      </w:r>
      <w:r>
        <w:fldChar w:fldCharType="begin"/>
      </w:r>
      <w:r>
        <w:instrText xml:space="preserve"> PAGEREF _Toc3319 \h </w:instrText>
      </w:r>
      <w:r>
        <w:fldChar w:fldCharType="separate"/>
      </w:r>
      <w:r>
        <w:t>10</w:t>
      </w:r>
      <w:r>
        <w:fldChar w:fldCharType="end"/>
      </w:r>
      <w:r>
        <w:rPr>
          <w:rFonts w:ascii="黑体" w:hAnsi="黑体" w:eastAsia="黑体"/>
        </w:rPr>
        <w:fldChar w:fldCharType="end"/>
      </w:r>
    </w:p>
    <w:p w14:paraId="574DF4A5">
      <w:pPr>
        <w:pStyle w:val="16"/>
        <w:tabs>
          <w:tab w:val="right" w:leader="dot" w:pos="8504"/>
        </w:tabs>
      </w:pPr>
      <w:r>
        <w:rPr>
          <w:rFonts w:ascii="黑体" w:hAnsi="黑体" w:eastAsia="黑体"/>
        </w:rPr>
        <w:fldChar w:fldCharType="begin"/>
      </w:r>
      <w:r>
        <w:rPr>
          <w:rFonts w:ascii="黑体" w:hAnsi="黑体" w:eastAsia="黑体"/>
        </w:rPr>
        <w:instrText xml:space="preserve"> HYPERLINK \l _Toc31673 </w:instrText>
      </w:r>
      <w:r>
        <w:rPr>
          <w:rFonts w:ascii="黑体" w:hAnsi="黑体" w:eastAsia="黑体"/>
        </w:rPr>
        <w:fldChar w:fldCharType="separate"/>
      </w:r>
      <w:r>
        <w:t xml:space="preserve">3.2.4 </w:t>
      </w:r>
      <w:r>
        <w:rPr>
          <w:rFonts w:hint="eastAsia"/>
        </w:rPr>
        <w:t>时间序列分析</w:t>
      </w:r>
      <w:r>
        <w:tab/>
      </w:r>
      <w:r>
        <w:fldChar w:fldCharType="begin"/>
      </w:r>
      <w:r>
        <w:instrText xml:space="preserve"> PAGEREF _Toc31673 \h </w:instrText>
      </w:r>
      <w:r>
        <w:fldChar w:fldCharType="separate"/>
      </w:r>
      <w:r>
        <w:t>13</w:t>
      </w:r>
      <w:r>
        <w:fldChar w:fldCharType="end"/>
      </w:r>
      <w:r>
        <w:rPr>
          <w:rFonts w:ascii="黑体" w:hAnsi="黑体" w:eastAsia="黑体"/>
        </w:rPr>
        <w:fldChar w:fldCharType="end"/>
      </w:r>
    </w:p>
    <w:p w14:paraId="2A8AEF37">
      <w:pPr>
        <w:pStyle w:val="16"/>
        <w:tabs>
          <w:tab w:val="right" w:leader="dot" w:pos="8504"/>
        </w:tabs>
      </w:pPr>
      <w:r>
        <w:rPr>
          <w:rFonts w:ascii="黑体" w:hAnsi="黑体" w:eastAsia="黑体"/>
        </w:rPr>
        <w:fldChar w:fldCharType="begin"/>
      </w:r>
      <w:r>
        <w:rPr>
          <w:rFonts w:ascii="黑体" w:hAnsi="黑体" w:eastAsia="黑体"/>
        </w:rPr>
        <w:instrText xml:space="preserve"> HYPERLINK \l _Toc4536 </w:instrText>
      </w:r>
      <w:r>
        <w:rPr>
          <w:rFonts w:ascii="黑体" w:hAnsi="黑体" w:eastAsia="黑体"/>
        </w:rPr>
        <w:fldChar w:fldCharType="separate"/>
      </w:r>
      <w:r>
        <w:t xml:space="preserve">3.2.5 </w:t>
      </w:r>
      <w:r>
        <w:rPr>
          <w:rFonts w:hint="eastAsia"/>
        </w:rPr>
        <w:t>组合总结</w:t>
      </w:r>
      <w:r>
        <w:tab/>
      </w:r>
      <w:r>
        <w:fldChar w:fldCharType="begin"/>
      </w:r>
      <w:r>
        <w:instrText xml:space="preserve"> PAGEREF _Toc4536 \h </w:instrText>
      </w:r>
      <w:r>
        <w:fldChar w:fldCharType="separate"/>
      </w:r>
      <w:r>
        <w:t>16</w:t>
      </w:r>
      <w:r>
        <w:fldChar w:fldCharType="end"/>
      </w:r>
      <w:r>
        <w:rPr>
          <w:rFonts w:ascii="黑体" w:hAnsi="黑体" w:eastAsia="黑体"/>
        </w:rPr>
        <w:fldChar w:fldCharType="end"/>
      </w:r>
    </w:p>
    <w:p w14:paraId="7B037302">
      <w:pPr>
        <w:pStyle w:val="16"/>
        <w:tabs>
          <w:tab w:val="right" w:leader="dot" w:pos="8504"/>
        </w:tabs>
      </w:pPr>
      <w:r>
        <w:rPr>
          <w:rFonts w:ascii="黑体" w:hAnsi="黑体" w:eastAsia="黑体"/>
        </w:rPr>
        <w:fldChar w:fldCharType="begin"/>
      </w:r>
      <w:r>
        <w:rPr>
          <w:rFonts w:ascii="黑体" w:hAnsi="黑体" w:eastAsia="黑体"/>
        </w:rPr>
        <w:instrText xml:space="preserve"> HYPERLINK \l _Toc7256 </w:instrText>
      </w:r>
      <w:r>
        <w:rPr>
          <w:rFonts w:ascii="黑体" w:hAnsi="黑体" w:eastAsia="黑体"/>
        </w:rPr>
        <w:fldChar w:fldCharType="separate"/>
      </w:r>
      <w:r>
        <w:t xml:space="preserve">3.2.6 </w:t>
      </w:r>
      <w:r>
        <w:rPr>
          <w:rFonts w:hint="eastAsia"/>
        </w:rPr>
        <w:t>持仓分析</w:t>
      </w:r>
      <w:r>
        <w:tab/>
      </w:r>
      <w:r>
        <w:fldChar w:fldCharType="begin"/>
      </w:r>
      <w:r>
        <w:instrText xml:space="preserve"> PAGEREF _Toc7256 \h </w:instrText>
      </w:r>
      <w:r>
        <w:fldChar w:fldCharType="separate"/>
      </w:r>
      <w:r>
        <w:t>19</w:t>
      </w:r>
      <w:r>
        <w:fldChar w:fldCharType="end"/>
      </w:r>
      <w:r>
        <w:rPr>
          <w:rFonts w:ascii="黑体" w:hAnsi="黑体" w:eastAsia="黑体"/>
        </w:rPr>
        <w:fldChar w:fldCharType="end"/>
      </w:r>
    </w:p>
    <w:p w14:paraId="6BF415ED">
      <w:pPr>
        <w:pStyle w:val="16"/>
        <w:tabs>
          <w:tab w:val="right" w:leader="dot" w:pos="8504"/>
        </w:tabs>
      </w:pPr>
      <w:r>
        <w:rPr>
          <w:rFonts w:ascii="黑体" w:hAnsi="黑体" w:eastAsia="黑体"/>
        </w:rPr>
        <w:fldChar w:fldCharType="begin"/>
      </w:r>
      <w:r>
        <w:rPr>
          <w:rFonts w:ascii="黑体" w:hAnsi="黑体" w:eastAsia="黑体"/>
        </w:rPr>
        <w:instrText xml:space="preserve"> HYPERLINK \l _Toc31824 </w:instrText>
      </w:r>
      <w:r>
        <w:rPr>
          <w:rFonts w:ascii="黑体" w:hAnsi="黑体" w:eastAsia="黑体"/>
        </w:rPr>
        <w:fldChar w:fldCharType="separate"/>
      </w:r>
      <w:r>
        <w:t xml:space="preserve">3.2.7 </w:t>
      </w:r>
      <w:r>
        <w:rPr>
          <w:rFonts w:hint="eastAsia"/>
        </w:rPr>
        <w:t>组合评价及业绩归因</w:t>
      </w:r>
      <w:r>
        <w:tab/>
      </w:r>
      <w:r>
        <w:fldChar w:fldCharType="begin"/>
      </w:r>
      <w:r>
        <w:instrText xml:space="preserve"> PAGEREF _Toc31824 \h </w:instrText>
      </w:r>
      <w:r>
        <w:fldChar w:fldCharType="separate"/>
      </w:r>
      <w:r>
        <w:t>21</w:t>
      </w:r>
      <w:r>
        <w:fldChar w:fldCharType="end"/>
      </w:r>
      <w:r>
        <w:rPr>
          <w:rFonts w:ascii="黑体" w:hAnsi="黑体" w:eastAsia="黑体"/>
        </w:rPr>
        <w:fldChar w:fldCharType="end"/>
      </w:r>
    </w:p>
    <w:p w14:paraId="6DCEDCC4">
      <w:pPr>
        <w:pStyle w:val="16"/>
        <w:tabs>
          <w:tab w:val="right" w:leader="dot" w:pos="8504"/>
        </w:tabs>
      </w:pPr>
      <w:r>
        <w:rPr>
          <w:rFonts w:ascii="黑体" w:hAnsi="黑体" w:eastAsia="黑体"/>
        </w:rPr>
        <w:fldChar w:fldCharType="begin"/>
      </w:r>
      <w:r>
        <w:rPr>
          <w:rFonts w:ascii="黑体" w:hAnsi="黑体" w:eastAsia="黑体"/>
        </w:rPr>
        <w:instrText xml:space="preserve"> HYPERLINK \l _Toc27603 </w:instrText>
      </w:r>
      <w:r>
        <w:rPr>
          <w:rFonts w:ascii="黑体" w:hAnsi="黑体" w:eastAsia="黑体"/>
        </w:rPr>
        <w:fldChar w:fldCharType="separate"/>
      </w:r>
      <w:r>
        <w:t xml:space="preserve">3.2.8 </w:t>
      </w:r>
      <w:r>
        <w:rPr>
          <w:rFonts w:hint="eastAsia"/>
        </w:rPr>
        <w:t>风险管理与分析</w:t>
      </w:r>
      <w:r>
        <w:tab/>
      </w:r>
      <w:r>
        <w:fldChar w:fldCharType="begin"/>
      </w:r>
      <w:r>
        <w:instrText xml:space="preserve"> PAGEREF _Toc27603 \h </w:instrText>
      </w:r>
      <w:r>
        <w:fldChar w:fldCharType="separate"/>
      </w:r>
      <w:r>
        <w:t>25</w:t>
      </w:r>
      <w:r>
        <w:fldChar w:fldCharType="end"/>
      </w:r>
      <w:r>
        <w:rPr>
          <w:rFonts w:ascii="黑体" w:hAnsi="黑体" w:eastAsia="黑体"/>
        </w:rPr>
        <w:fldChar w:fldCharType="end"/>
      </w:r>
    </w:p>
    <w:p w14:paraId="6FAE94A8">
      <w:pPr>
        <w:pStyle w:val="16"/>
        <w:tabs>
          <w:tab w:val="right" w:leader="dot" w:pos="8504"/>
        </w:tabs>
      </w:pPr>
      <w:r>
        <w:rPr>
          <w:rFonts w:ascii="黑体" w:hAnsi="黑体" w:eastAsia="黑体"/>
        </w:rPr>
        <w:fldChar w:fldCharType="begin"/>
      </w:r>
      <w:r>
        <w:rPr>
          <w:rFonts w:ascii="黑体" w:hAnsi="黑体" w:eastAsia="黑体"/>
        </w:rPr>
        <w:instrText xml:space="preserve"> HYPERLINK \l _Toc568 </w:instrText>
      </w:r>
      <w:r>
        <w:rPr>
          <w:rFonts w:ascii="黑体" w:hAnsi="黑体" w:eastAsia="黑体"/>
        </w:rPr>
        <w:fldChar w:fldCharType="separate"/>
      </w:r>
      <w:r>
        <w:t xml:space="preserve">3.2.9 </w:t>
      </w:r>
      <w:r>
        <w:rPr>
          <w:rFonts w:hint="eastAsia"/>
        </w:rPr>
        <w:t>组合簿记及清算估值</w:t>
      </w:r>
      <w:r>
        <w:tab/>
      </w:r>
      <w:r>
        <w:fldChar w:fldCharType="begin"/>
      </w:r>
      <w:r>
        <w:instrText xml:space="preserve"> PAGEREF _Toc568 \h </w:instrText>
      </w:r>
      <w:r>
        <w:fldChar w:fldCharType="separate"/>
      </w:r>
      <w:r>
        <w:t>30</w:t>
      </w:r>
      <w:r>
        <w:fldChar w:fldCharType="end"/>
      </w:r>
      <w:r>
        <w:rPr>
          <w:rFonts w:ascii="黑体" w:hAnsi="黑体" w:eastAsia="黑体"/>
        </w:rPr>
        <w:fldChar w:fldCharType="end"/>
      </w:r>
    </w:p>
    <w:p w14:paraId="62AAF2F0">
      <w:pPr>
        <w:pStyle w:val="24"/>
        <w:tabs>
          <w:tab w:val="right" w:leader="dot" w:pos="8504"/>
        </w:tabs>
      </w:pPr>
      <w:r>
        <w:rPr>
          <w:rFonts w:ascii="黑体" w:hAnsi="黑体" w:eastAsia="黑体"/>
        </w:rPr>
        <w:fldChar w:fldCharType="begin"/>
      </w:r>
      <w:r>
        <w:rPr>
          <w:rFonts w:ascii="黑体" w:hAnsi="黑体" w:eastAsia="黑体"/>
        </w:rPr>
        <w:instrText xml:space="preserve"> HYPERLINK \l _Toc5805 </w:instrText>
      </w:r>
      <w:r>
        <w:rPr>
          <w:rFonts w:ascii="黑体" w:hAnsi="黑体" w:eastAsia="黑体"/>
        </w:rPr>
        <w:fldChar w:fldCharType="separate"/>
      </w:r>
      <w:r>
        <w:t xml:space="preserve">3.3 </w:t>
      </w:r>
      <w:r>
        <w:rPr>
          <w:rFonts w:hint="eastAsia"/>
        </w:rPr>
        <w:t>金融工程数据及计算模块</w:t>
      </w:r>
      <w:r>
        <w:tab/>
      </w:r>
      <w:r>
        <w:fldChar w:fldCharType="begin"/>
      </w:r>
      <w:r>
        <w:instrText xml:space="preserve"> PAGEREF _Toc5805 \h </w:instrText>
      </w:r>
      <w:r>
        <w:fldChar w:fldCharType="separate"/>
      </w:r>
      <w:r>
        <w:t>31</w:t>
      </w:r>
      <w:r>
        <w:fldChar w:fldCharType="end"/>
      </w:r>
      <w:r>
        <w:rPr>
          <w:rFonts w:ascii="黑体" w:hAnsi="黑体" w:eastAsia="黑体"/>
        </w:rPr>
        <w:fldChar w:fldCharType="end"/>
      </w:r>
    </w:p>
    <w:p w14:paraId="0085C2A6">
      <w:pPr>
        <w:pStyle w:val="16"/>
        <w:tabs>
          <w:tab w:val="right" w:leader="dot" w:pos="8504"/>
        </w:tabs>
      </w:pPr>
      <w:r>
        <w:rPr>
          <w:rFonts w:ascii="黑体" w:hAnsi="黑体" w:eastAsia="黑体"/>
        </w:rPr>
        <w:fldChar w:fldCharType="begin"/>
      </w:r>
      <w:r>
        <w:rPr>
          <w:rFonts w:ascii="黑体" w:hAnsi="黑体" w:eastAsia="黑体"/>
        </w:rPr>
        <w:instrText xml:space="preserve"> HYPERLINK \l _Toc32532 </w:instrText>
      </w:r>
      <w:r>
        <w:rPr>
          <w:rFonts w:ascii="黑体" w:hAnsi="黑体" w:eastAsia="黑体"/>
        </w:rPr>
        <w:fldChar w:fldCharType="separate"/>
      </w:r>
      <w:r>
        <w:t xml:space="preserve">3.3.1 </w:t>
      </w:r>
      <w:r>
        <w:rPr>
          <w:rFonts w:hint="eastAsia"/>
        </w:rPr>
        <w:t>债券收益率曲线及风险计算</w:t>
      </w:r>
      <w:r>
        <w:tab/>
      </w:r>
      <w:r>
        <w:fldChar w:fldCharType="begin"/>
      </w:r>
      <w:r>
        <w:instrText xml:space="preserve"> PAGEREF _Toc32532 \h </w:instrText>
      </w:r>
      <w:r>
        <w:fldChar w:fldCharType="separate"/>
      </w:r>
      <w:r>
        <w:t>31</w:t>
      </w:r>
      <w:r>
        <w:fldChar w:fldCharType="end"/>
      </w:r>
      <w:r>
        <w:rPr>
          <w:rFonts w:ascii="黑体" w:hAnsi="黑体" w:eastAsia="黑体"/>
        </w:rPr>
        <w:fldChar w:fldCharType="end"/>
      </w:r>
    </w:p>
    <w:p w14:paraId="3DD3A049">
      <w:pPr>
        <w:pStyle w:val="24"/>
        <w:tabs>
          <w:tab w:val="right" w:leader="dot" w:pos="8504"/>
        </w:tabs>
      </w:pPr>
      <w:r>
        <w:rPr>
          <w:rFonts w:ascii="黑体" w:hAnsi="黑体" w:eastAsia="黑体"/>
        </w:rPr>
        <w:fldChar w:fldCharType="begin"/>
      </w:r>
      <w:r>
        <w:rPr>
          <w:rFonts w:ascii="黑体" w:hAnsi="黑体" w:eastAsia="黑体"/>
        </w:rPr>
        <w:instrText xml:space="preserve"> HYPERLINK \l _Toc3709 </w:instrText>
      </w:r>
      <w:r>
        <w:rPr>
          <w:rFonts w:ascii="黑体" w:hAnsi="黑体" w:eastAsia="黑体"/>
        </w:rPr>
        <w:fldChar w:fldCharType="separate"/>
      </w:r>
      <w:r>
        <w:t xml:space="preserve">3.4 </w:t>
      </w:r>
      <w:r>
        <w:rPr>
          <w:rFonts w:hint="eastAsia"/>
          <w:lang w:val="en-US" w:eastAsia="zh-CN"/>
        </w:rPr>
        <w:t>特定指标计算口径说明</w:t>
      </w:r>
      <w:r>
        <w:tab/>
      </w:r>
      <w:r>
        <w:fldChar w:fldCharType="begin"/>
      </w:r>
      <w:r>
        <w:instrText xml:space="preserve"> PAGEREF _Toc3709 \h </w:instrText>
      </w:r>
      <w:r>
        <w:fldChar w:fldCharType="separate"/>
      </w:r>
      <w:r>
        <w:t>33</w:t>
      </w:r>
      <w:r>
        <w:fldChar w:fldCharType="end"/>
      </w:r>
      <w:r>
        <w:rPr>
          <w:rFonts w:ascii="黑体" w:hAnsi="黑体" w:eastAsia="黑体"/>
        </w:rPr>
        <w:fldChar w:fldCharType="end"/>
      </w:r>
    </w:p>
    <w:p w14:paraId="46E78D40">
      <w:pPr>
        <w:jc w:val="center"/>
        <w:rPr>
          <w:rFonts w:hint="eastAsia" w:ascii="黑体" w:hAnsi="黑体" w:eastAsia="黑体"/>
          <w:sz w:val="40"/>
        </w:rPr>
        <w:sectPr>
          <w:footerReference r:id="rId5" w:type="default"/>
          <w:pgSz w:w="11906" w:h="16838"/>
          <w:pgMar w:top="1418" w:right="1701" w:bottom="1418" w:left="1701" w:header="851" w:footer="992" w:gutter="0"/>
          <w:pgNumType w:start="1"/>
          <w:cols w:space="425" w:num="1"/>
          <w:docGrid w:linePitch="312" w:charSpace="0"/>
        </w:sectPr>
      </w:pPr>
      <w:r>
        <w:rPr>
          <w:rFonts w:ascii="黑体" w:hAnsi="黑体" w:eastAsia="黑体"/>
        </w:rPr>
        <w:fldChar w:fldCharType="end"/>
      </w:r>
    </w:p>
    <w:p w14:paraId="21DBF158">
      <w:pPr>
        <w:pStyle w:val="2"/>
      </w:pPr>
      <w:bookmarkStart w:id="0" w:name="_Toc622"/>
      <w:bookmarkStart w:id="1" w:name="_Toc991"/>
      <w:bookmarkStart w:id="2" w:name="_Toc184052875"/>
      <w:bookmarkStart w:id="3" w:name="_Toc4064"/>
      <w:bookmarkStart w:id="4" w:name="_Toc182934317"/>
      <w:r>
        <w:rPr>
          <w:rFonts w:hint="eastAsia"/>
        </w:rPr>
        <w:t>需求目标</w:t>
      </w:r>
      <w:bookmarkEnd w:id="0"/>
      <w:bookmarkEnd w:id="1"/>
      <w:bookmarkEnd w:id="2"/>
      <w:bookmarkEnd w:id="3"/>
      <w:bookmarkEnd w:id="4"/>
    </w:p>
    <w:p w14:paraId="0F91CE3D">
      <w:pPr>
        <w:pStyle w:val="3"/>
      </w:pPr>
      <w:bookmarkStart w:id="5" w:name="_Toc184052876"/>
      <w:bookmarkStart w:id="6" w:name="_Toc23387"/>
      <w:bookmarkStart w:id="7" w:name="_Toc6628"/>
      <w:bookmarkStart w:id="8" w:name="_Toc182934318"/>
      <w:bookmarkStart w:id="9" w:name="_Toc32687"/>
      <w:bookmarkStart w:id="10" w:name="_Toc494296713"/>
      <w:bookmarkStart w:id="11" w:name="_Toc255829554"/>
      <w:r>
        <w:rPr>
          <w:rFonts w:hint="eastAsia"/>
        </w:rPr>
        <w:t>需求概述</w:t>
      </w:r>
      <w:bookmarkEnd w:id="5"/>
      <w:bookmarkEnd w:id="6"/>
      <w:bookmarkEnd w:id="7"/>
      <w:bookmarkEnd w:id="8"/>
      <w:bookmarkEnd w:id="9"/>
    </w:p>
    <w:p w14:paraId="610429BA">
      <w:pPr>
        <w:pStyle w:val="44"/>
        <w:spacing w:before="120" w:after="120"/>
        <w:ind w:firstLine="480"/>
      </w:pPr>
      <w:r>
        <w:rPr>
          <w:rFonts w:hint="eastAsia"/>
          <w:lang w:eastAsia="zh-CN"/>
        </w:rPr>
        <w:t>投组管理</w:t>
      </w:r>
      <w:r>
        <w:rPr>
          <w:rFonts w:hint="eastAsia"/>
        </w:rPr>
        <w:t>在汇总、整理、加工市场数据、交易数据、参考数据的基础上，提供完整的投后管理功能，包括债券金融工程模型及计算器、投资组合管理、损益归因等。</w:t>
      </w:r>
    </w:p>
    <w:bookmarkEnd w:id="10"/>
    <w:bookmarkEnd w:id="11"/>
    <w:p w14:paraId="6E15A762">
      <w:pPr>
        <w:pStyle w:val="44"/>
        <w:spacing w:before="120" w:after="120"/>
        <w:ind w:firstLine="420" w:firstLineChars="0"/>
        <w:rPr>
          <w:b/>
          <w:bCs/>
        </w:rPr>
      </w:pPr>
      <w:r>
        <w:rPr>
          <w:rFonts w:hint="eastAsia"/>
          <w:b/>
          <w:bCs/>
          <w:lang w:val="en-US" w:eastAsia="zh-CN"/>
        </w:rPr>
        <w:t>需求</w:t>
      </w:r>
      <w:r>
        <w:rPr>
          <w:rFonts w:hint="eastAsia"/>
          <w:b/>
          <w:bCs/>
        </w:rPr>
        <w:t>目标：</w:t>
      </w:r>
    </w:p>
    <w:p w14:paraId="0C7D6BC2">
      <w:pPr>
        <w:pStyle w:val="44"/>
        <w:numPr>
          <w:ilvl w:val="-1"/>
          <w:numId w:val="0"/>
        </w:numPr>
        <w:spacing w:before="120" w:after="120"/>
        <w:ind w:left="420" w:firstLine="480" w:firstLineChars="200"/>
      </w:pPr>
      <w:r>
        <w:rPr>
          <w:rFonts w:hint="eastAsia"/>
        </w:rPr>
        <w:t>完成金融工程计算引擎的搭建，调用金融工程引擎及历史数据，在</w:t>
      </w:r>
      <w:r>
        <w:rPr>
          <w:rFonts w:hint="eastAsia"/>
          <w:lang w:eastAsia="zh-CN"/>
        </w:rPr>
        <w:t>投组管理</w:t>
      </w:r>
      <w:r>
        <w:rPr>
          <w:rFonts w:hint="eastAsia"/>
        </w:rPr>
        <w:t>计算债券收益率曲线及风险计算指标，为债券定价提供金融工具支持。完成投资组合管理功能模块的上线，以实现投资组合管理的优化配置、动态调整、增厚收益、基于指数基准的绩效评估、风险管理等，实现对经营计划管理的有效支持。</w:t>
      </w:r>
    </w:p>
    <w:p w14:paraId="124583EC">
      <w:pPr>
        <w:pStyle w:val="44"/>
        <w:spacing w:before="120" w:after="120"/>
        <w:ind w:left="420" w:firstLine="0" w:firstLineChars="0"/>
      </w:pPr>
    </w:p>
    <w:p w14:paraId="2355F48B">
      <w:pPr>
        <w:pStyle w:val="44"/>
        <w:spacing w:before="120" w:after="120"/>
        <w:ind w:firstLine="420" w:firstLineChars="0"/>
      </w:pPr>
      <w:r>
        <w:rPr>
          <w:rFonts w:hint="eastAsia"/>
          <w:b/>
          <w:bCs/>
        </w:rPr>
        <w:t>业务价值：</w:t>
      </w:r>
    </w:p>
    <w:p w14:paraId="391B8787">
      <w:pPr>
        <w:pStyle w:val="44"/>
        <w:numPr>
          <w:ilvl w:val="-1"/>
          <w:numId w:val="0"/>
        </w:numPr>
        <w:spacing w:before="120" w:after="120"/>
        <w:ind w:left="420" w:firstLine="480" w:firstLineChars="200"/>
      </w:pPr>
      <w:r>
        <w:rPr>
          <w:rFonts w:hint="eastAsia"/>
        </w:rPr>
        <w:t>提升投资决策质量，提高投资组合整体收益率，</w:t>
      </w:r>
      <w:r>
        <w:rPr>
          <w:rFonts w:hint="eastAsia"/>
          <w:lang w:eastAsia="zh-CN"/>
        </w:rPr>
        <w:t>投组管理</w:t>
      </w:r>
      <w:r>
        <w:rPr>
          <w:rFonts w:hint="eastAsia"/>
        </w:rPr>
        <w:t>上线后，可以基于更全面的、更准确的数据和分析，做出更明智的投资决策；支持计划预算，优化资源配置，基于投资组合试算、情景分析等功能，可以辅助开展计划预算的测算，合理配置资产，优化资源配置。</w:t>
      </w:r>
    </w:p>
    <w:p w14:paraId="59233829">
      <w:pPr>
        <w:pStyle w:val="2"/>
      </w:pPr>
      <w:bookmarkStart w:id="12" w:name="_Toc184052884"/>
      <w:bookmarkStart w:id="13" w:name="_Toc25492"/>
      <w:bookmarkStart w:id="14" w:name="_Toc182934322"/>
      <w:bookmarkStart w:id="15" w:name="_Toc27420"/>
      <w:bookmarkStart w:id="16" w:name="_Toc24074"/>
      <w:r>
        <w:rPr>
          <w:rFonts w:hint="eastAsia"/>
        </w:rPr>
        <w:t>需求范围</w:t>
      </w:r>
      <w:bookmarkEnd w:id="12"/>
      <w:bookmarkEnd w:id="13"/>
      <w:bookmarkEnd w:id="14"/>
      <w:bookmarkEnd w:id="15"/>
      <w:bookmarkEnd w:id="16"/>
    </w:p>
    <w:p w14:paraId="65844A41">
      <w:pPr>
        <w:pStyle w:val="3"/>
      </w:pPr>
      <w:bookmarkStart w:id="17" w:name="_Toc28365"/>
      <w:bookmarkStart w:id="18" w:name="_Toc4911"/>
      <w:bookmarkStart w:id="19" w:name="_Toc184052889"/>
      <w:bookmarkStart w:id="20" w:name="_Toc21932"/>
      <w:bookmarkStart w:id="21" w:name="_Toc182934327"/>
      <w:r>
        <w:rPr>
          <w:rFonts w:hint="eastAsia"/>
        </w:rPr>
        <w:t>功能范围</w:t>
      </w:r>
      <w:bookmarkEnd w:id="17"/>
      <w:bookmarkEnd w:id="18"/>
      <w:bookmarkEnd w:id="19"/>
      <w:bookmarkEnd w:id="20"/>
      <w:bookmarkEnd w:id="21"/>
    </w:p>
    <w:p w14:paraId="1689CC56"/>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574"/>
        <w:gridCol w:w="1602"/>
        <w:gridCol w:w="5823"/>
        <w:gridCol w:w="721"/>
      </w:tblGrid>
      <w:tr w14:paraId="5B090E4B">
        <w:trPr>
          <w:tblHeader/>
          <w:jc w:val="center"/>
        </w:trPr>
        <w:tc>
          <w:tcPr>
            <w:tcW w:w="329" w:type="pct"/>
            <w:shd w:val="clear" w:color="auto" w:fill="E7E6E6" w:themeFill="background2"/>
          </w:tcPr>
          <w:p w14:paraId="3767177D">
            <w:pPr>
              <w:jc w:val="center"/>
              <w:rPr>
                <w:b/>
              </w:rPr>
            </w:pPr>
            <w:r>
              <w:rPr>
                <w:rFonts w:hint="eastAsia"/>
                <w:b/>
              </w:rPr>
              <w:t>序号</w:t>
            </w:r>
          </w:p>
        </w:tc>
        <w:tc>
          <w:tcPr>
            <w:tcW w:w="918" w:type="pct"/>
            <w:shd w:val="clear" w:color="auto" w:fill="E7E6E6" w:themeFill="background2"/>
          </w:tcPr>
          <w:p w14:paraId="749AC5E6">
            <w:pPr>
              <w:jc w:val="center"/>
              <w:rPr>
                <w:b/>
              </w:rPr>
            </w:pPr>
            <w:r>
              <w:rPr>
                <w:rFonts w:hint="eastAsia"/>
                <w:b/>
              </w:rPr>
              <w:t>名称</w:t>
            </w:r>
          </w:p>
        </w:tc>
        <w:tc>
          <w:tcPr>
            <w:tcW w:w="3338" w:type="pct"/>
            <w:shd w:val="clear" w:color="auto" w:fill="E7E6E6" w:themeFill="background2"/>
          </w:tcPr>
          <w:p w14:paraId="71145AE7">
            <w:pPr>
              <w:jc w:val="center"/>
              <w:rPr>
                <w:b/>
              </w:rPr>
            </w:pPr>
            <w:r>
              <w:rPr>
                <w:rFonts w:hint="eastAsia"/>
                <w:b/>
              </w:rPr>
              <w:t>功能描述</w:t>
            </w:r>
          </w:p>
        </w:tc>
        <w:tc>
          <w:tcPr>
            <w:tcW w:w="413" w:type="pct"/>
            <w:shd w:val="clear" w:color="auto" w:fill="E7E6E6" w:themeFill="background2"/>
          </w:tcPr>
          <w:p w14:paraId="2188B799">
            <w:pPr>
              <w:jc w:val="center"/>
              <w:rPr>
                <w:b/>
              </w:rPr>
            </w:pPr>
            <w:r>
              <w:rPr>
                <w:rFonts w:hint="eastAsia"/>
                <w:b/>
              </w:rPr>
              <w:t>优先级</w:t>
            </w:r>
          </w:p>
        </w:tc>
      </w:tr>
      <w:tr w14:paraId="797DF8FC">
        <w:trPr>
          <w:jc w:val="center"/>
        </w:trPr>
        <w:tc>
          <w:tcPr>
            <w:tcW w:w="329" w:type="pct"/>
            <w:tcBorders>
              <w:top w:val="single" w:color="auto" w:sz="4" w:space="0"/>
              <w:left w:val="single" w:color="auto" w:sz="4" w:space="0"/>
              <w:bottom w:val="single" w:color="auto" w:sz="4" w:space="0"/>
              <w:right w:val="single" w:color="auto" w:sz="4" w:space="0"/>
            </w:tcBorders>
            <w:shd w:val="clear" w:color="auto" w:fill="auto"/>
            <w:vAlign w:val="center"/>
          </w:tcPr>
          <w:p w14:paraId="19F09EDA">
            <w:pPr>
              <w:pStyle w:val="34"/>
              <w:ind w:firstLine="0" w:firstLineChars="0"/>
            </w:pPr>
            <w:r>
              <w:rPr>
                <w:rFonts w:eastAsia="等线" w:cs="Times New Roman"/>
                <w:color w:val="000000"/>
                <w:szCs w:val="21"/>
              </w:rPr>
              <w:t>1</w:t>
            </w:r>
          </w:p>
        </w:tc>
        <w:tc>
          <w:tcPr>
            <w:tcW w:w="918" w:type="pct"/>
          </w:tcPr>
          <w:p w14:paraId="280C7476">
            <w:pPr>
              <w:rPr>
                <w:rFonts w:hint="eastAsia"/>
              </w:rPr>
            </w:pPr>
            <w:r>
              <w:rPr>
                <w:rFonts w:hint="eastAsia"/>
              </w:rPr>
              <w:t>用户管理模块</w:t>
            </w:r>
          </w:p>
        </w:tc>
        <w:tc>
          <w:tcPr>
            <w:tcW w:w="3338" w:type="pct"/>
          </w:tcPr>
          <w:p w14:paraId="370A598B">
            <w:r>
              <w:rPr>
                <w:rFonts w:hint="eastAsia"/>
              </w:rPr>
              <w:t>系统需支持用户机构、部门、岗位等角色设置，同时支持根据各角色控制各功能权限。</w:t>
            </w:r>
          </w:p>
        </w:tc>
        <w:tc>
          <w:tcPr>
            <w:tcW w:w="413" w:type="pct"/>
          </w:tcPr>
          <w:p w14:paraId="75FBB4B6">
            <w:r>
              <w:rPr>
                <w:rFonts w:hint="eastAsia"/>
              </w:rPr>
              <w:t>高</w:t>
            </w:r>
          </w:p>
        </w:tc>
      </w:tr>
      <w:tr w14:paraId="21516CCC">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5F9BB473">
            <w:pPr>
              <w:rPr>
                <w:rFonts w:hint="eastAsia" w:eastAsia="宋体"/>
                <w:lang w:val="en-US" w:eastAsia="zh-CN"/>
              </w:rPr>
            </w:pPr>
            <w:r>
              <w:rPr>
                <w:rFonts w:hint="eastAsia"/>
                <w:lang w:val="en-US" w:eastAsia="zh-CN"/>
              </w:rPr>
              <w:t>2</w:t>
            </w:r>
          </w:p>
        </w:tc>
        <w:tc>
          <w:tcPr>
            <w:tcW w:w="918" w:type="pct"/>
          </w:tcPr>
          <w:p w14:paraId="53D9F45D">
            <w:r>
              <w:rPr>
                <w:rFonts w:hint="eastAsia"/>
              </w:rPr>
              <w:t>组合管理模块-综合管理</w:t>
            </w:r>
          </w:p>
        </w:tc>
        <w:tc>
          <w:tcPr>
            <w:tcW w:w="3338" w:type="pct"/>
          </w:tcPr>
          <w:p w14:paraId="2983882F">
            <w:pPr>
              <w:jc w:val="left"/>
              <w:rPr>
                <w:rFonts w:hint="eastAsia"/>
              </w:rPr>
            </w:pPr>
            <w:r>
              <w:rPr>
                <w:rFonts w:hint="eastAsia"/>
              </w:rPr>
              <w:t>1、需要提供多组合信息汇总统计功能、持仓分布及盈亏数据统计，包括现有组合汇总以及模拟组合信息的汇总统计。</w:t>
            </w:r>
          </w:p>
          <w:p w14:paraId="5F3B4E9F">
            <w:pPr>
              <w:jc w:val="left"/>
              <w:rPr>
                <w:rFonts w:hint="eastAsia"/>
              </w:rPr>
            </w:pPr>
            <w:r>
              <w:rPr>
                <w:rFonts w:hint="eastAsia"/>
              </w:rPr>
              <w:t>2、需要提供组合日历功能, 对当日计划发生的债券派息、兑付、到期等现金流进行统计及提示；</w:t>
            </w:r>
          </w:p>
          <w:p w14:paraId="1BC4408A">
            <w:pPr>
              <w:jc w:val="left"/>
            </w:pPr>
            <w:r>
              <w:rPr>
                <w:rFonts w:hint="eastAsia"/>
              </w:rPr>
              <w:t>3、需要对组合持仓中异动资产进行风险提示，如债券估值偏离、价格异动、主体利差变动等，并支持异动阈值的自定义设置。</w:t>
            </w:r>
          </w:p>
        </w:tc>
        <w:tc>
          <w:tcPr>
            <w:tcW w:w="413" w:type="pct"/>
          </w:tcPr>
          <w:p w14:paraId="7482894F">
            <w:r>
              <w:rPr>
                <w:rFonts w:hint="eastAsia"/>
              </w:rPr>
              <w:t>高</w:t>
            </w:r>
          </w:p>
        </w:tc>
      </w:tr>
      <w:tr w14:paraId="2681313F">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39E32E1F">
            <w:pPr>
              <w:rPr>
                <w:rFonts w:hint="eastAsia" w:eastAsia="等线"/>
                <w:lang w:eastAsia="zh-CN"/>
              </w:rPr>
            </w:pPr>
            <w:r>
              <w:rPr>
                <w:rFonts w:hint="eastAsia" w:eastAsia="等线" w:cs="Times New Roman"/>
                <w:color w:val="000000"/>
                <w:szCs w:val="21"/>
                <w:lang w:val="en-US" w:eastAsia="zh-CN"/>
              </w:rPr>
              <w:t>3</w:t>
            </w:r>
          </w:p>
        </w:tc>
        <w:tc>
          <w:tcPr>
            <w:tcW w:w="918" w:type="pct"/>
          </w:tcPr>
          <w:p w14:paraId="6B71413A">
            <w:r>
              <w:rPr>
                <w:rFonts w:hint="eastAsia"/>
              </w:rPr>
              <w:t>组合管理模块-模拟组合管理</w:t>
            </w:r>
          </w:p>
        </w:tc>
        <w:tc>
          <w:tcPr>
            <w:tcW w:w="3338" w:type="pct"/>
          </w:tcPr>
          <w:p w14:paraId="4B6917E0">
            <w:pPr>
              <w:jc w:val="left"/>
            </w:pPr>
            <w:r>
              <w:rPr>
                <w:rFonts w:hint="eastAsia"/>
              </w:rPr>
              <w:t>1、需要支持模拟交易手动录入和EXCEL批量上传</w:t>
            </w:r>
            <w:r>
              <w:br w:type="textWrapping"/>
            </w:r>
            <w:r>
              <w:rPr>
                <w:rFonts w:hint="eastAsia"/>
              </w:rPr>
              <w:t>2、需要提供模拟组合指标的历史序列查询</w:t>
            </w:r>
            <w:r>
              <w:br w:type="textWrapping"/>
            </w:r>
            <w:r>
              <w:rPr>
                <w:rFonts w:hint="eastAsia"/>
              </w:rPr>
              <w:t>3、需要提供模拟组合的盈亏分析</w:t>
            </w:r>
            <w:r>
              <w:br w:type="textWrapping"/>
            </w:r>
            <w:r>
              <w:rPr>
                <w:rFonts w:hint="eastAsia"/>
              </w:rPr>
              <w:t>4、需要提供模拟组合的绩效归因和风险分析</w:t>
            </w:r>
          </w:p>
        </w:tc>
        <w:tc>
          <w:tcPr>
            <w:tcW w:w="413" w:type="pct"/>
          </w:tcPr>
          <w:p w14:paraId="1795FE16">
            <w:r>
              <w:rPr>
                <w:rFonts w:hint="eastAsia"/>
              </w:rPr>
              <w:t>高</w:t>
            </w:r>
          </w:p>
        </w:tc>
      </w:tr>
      <w:tr w14:paraId="03DC688A">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01031F41">
            <w:pPr>
              <w:rPr>
                <w:rFonts w:hint="eastAsia" w:eastAsia="等线"/>
                <w:lang w:eastAsia="zh-CN"/>
              </w:rPr>
            </w:pPr>
            <w:r>
              <w:rPr>
                <w:rFonts w:hint="eastAsia" w:eastAsia="等线" w:cs="Times New Roman"/>
                <w:color w:val="000000"/>
                <w:szCs w:val="21"/>
                <w:lang w:val="en-US" w:eastAsia="zh-CN"/>
              </w:rPr>
              <w:t>4</w:t>
            </w:r>
          </w:p>
        </w:tc>
        <w:tc>
          <w:tcPr>
            <w:tcW w:w="918" w:type="pct"/>
          </w:tcPr>
          <w:p w14:paraId="28EDACDE">
            <w:r>
              <w:rPr>
                <w:rFonts w:hint="eastAsia"/>
              </w:rPr>
              <w:t>组合管理模块-组合合并/拆分</w:t>
            </w:r>
          </w:p>
        </w:tc>
        <w:tc>
          <w:tcPr>
            <w:tcW w:w="3338" w:type="pct"/>
          </w:tcPr>
          <w:p w14:paraId="5127825C">
            <w:pPr>
              <w:jc w:val="left"/>
            </w:pPr>
            <w:r>
              <w:rPr>
                <w:rFonts w:hint="eastAsia"/>
              </w:rPr>
              <w:t>1、需要提供组合拆分功能，支持从债券类型、行业、是否含权、是否次级、交易编号等多维度标签对组合进行资产拆分，支持将拆分后的资产快速构建为新的组合</w:t>
            </w:r>
            <w:r>
              <w:br w:type="textWrapping"/>
            </w:r>
            <w:r>
              <w:rPr>
                <w:rFonts w:hint="eastAsia"/>
              </w:rPr>
              <w:t>2、需要提供组合合并功能，支持从债券类型、行业、是否含权、是否次级、交易编号等多维度标签对多个组合进行资产合并，支持将合并后的资产快速构建为新的组合</w:t>
            </w:r>
          </w:p>
        </w:tc>
        <w:tc>
          <w:tcPr>
            <w:tcW w:w="413" w:type="pct"/>
          </w:tcPr>
          <w:p w14:paraId="65BF515C">
            <w:r>
              <w:rPr>
                <w:rFonts w:hint="eastAsia"/>
              </w:rPr>
              <w:t>高</w:t>
            </w:r>
          </w:p>
        </w:tc>
      </w:tr>
      <w:tr w14:paraId="1A0678AA">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1752F98B">
            <w:pPr>
              <w:rPr>
                <w:rFonts w:hint="eastAsia" w:eastAsia="等线"/>
                <w:lang w:eastAsia="zh-CN"/>
              </w:rPr>
            </w:pPr>
            <w:r>
              <w:rPr>
                <w:rFonts w:hint="eastAsia" w:eastAsia="等线" w:cs="Times New Roman"/>
                <w:color w:val="000000"/>
                <w:szCs w:val="21"/>
                <w:lang w:val="en-US" w:eastAsia="zh-CN"/>
              </w:rPr>
              <w:t>5</w:t>
            </w:r>
          </w:p>
        </w:tc>
        <w:tc>
          <w:tcPr>
            <w:tcW w:w="918" w:type="pct"/>
          </w:tcPr>
          <w:p w14:paraId="00EE90D4">
            <w:r>
              <w:rPr>
                <w:rFonts w:hint="eastAsia"/>
              </w:rPr>
              <w:t>组合管理模块-时间序列分析</w:t>
            </w:r>
          </w:p>
        </w:tc>
        <w:tc>
          <w:tcPr>
            <w:tcW w:w="3338" w:type="pct"/>
          </w:tcPr>
          <w:p w14:paraId="150DFBCB">
            <w:pPr>
              <w:jc w:val="left"/>
            </w:pPr>
            <w:r>
              <w:rPr>
                <w:rFonts w:hint="eastAsia"/>
              </w:rPr>
              <w:t>1、提供组合各类指标的历史数据可视化图形展示，包括绩效指标、特性指标、仓位指标</w:t>
            </w:r>
            <w:r>
              <w:br w:type="textWrapping"/>
            </w:r>
            <w:r>
              <w:rPr>
                <w:rFonts w:hint="eastAsia"/>
              </w:rPr>
              <w:t>2、提供业绩对比功能，支持组合与单一指数基准、复合指数基准、组合与组合、分组与分组之间的绩效对比</w:t>
            </w:r>
            <w:r>
              <w:br w:type="textWrapping"/>
            </w:r>
            <w:r>
              <w:rPr>
                <w:rFonts w:hint="eastAsia"/>
              </w:rPr>
              <w:t>3、提供自定义基准功能</w:t>
            </w:r>
            <w:r>
              <w:br w:type="textWrapping"/>
            </w:r>
            <w:r>
              <w:rPr>
                <w:rFonts w:hint="eastAsia"/>
              </w:rPr>
              <w:t>4、提供净值拆分功能，支持将组合中资产进行自定义拆分后的净值计算</w:t>
            </w:r>
          </w:p>
        </w:tc>
        <w:tc>
          <w:tcPr>
            <w:tcW w:w="413" w:type="pct"/>
          </w:tcPr>
          <w:p w14:paraId="7C28FD16">
            <w:r>
              <w:rPr>
                <w:rFonts w:hint="eastAsia"/>
              </w:rPr>
              <w:t>高</w:t>
            </w:r>
          </w:p>
        </w:tc>
      </w:tr>
      <w:tr w14:paraId="71FFA3AF">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09E2272B">
            <w:pPr>
              <w:rPr>
                <w:rFonts w:hint="eastAsia" w:eastAsia="等线"/>
                <w:lang w:eastAsia="zh-CN"/>
              </w:rPr>
            </w:pPr>
            <w:r>
              <w:rPr>
                <w:rFonts w:hint="eastAsia" w:eastAsia="等线" w:cs="Times New Roman"/>
                <w:color w:val="000000"/>
                <w:szCs w:val="21"/>
                <w:lang w:val="en-US" w:eastAsia="zh-CN"/>
              </w:rPr>
              <w:t>6</w:t>
            </w:r>
          </w:p>
        </w:tc>
        <w:tc>
          <w:tcPr>
            <w:tcW w:w="918" w:type="pct"/>
          </w:tcPr>
          <w:p w14:paraId="3DC1F39C">
            <w:r>
              <w:rPr>
                <w:rFonts w:hint="eastAsia"/>
              </w:rPr>
              <w:t>组合管理模块-组合总结</w:t>
            </w:r>
          </w:p>
        </w:tc>
        <w:tc>
          <w:tcPr>
            <w:tcW w:w="3338" w:type="pct"/>
          </w:tcPr>
          <w:p w14:paraId="73406F88">
            <w:pPr>
              <w:jc w:val="left"/>
              <w:rPr>
                <w:rFonts w:hint="eastAsia"/>
              </w:rPr>
            </w:pPr>
            <w:r>
              <w:rPr>
                <w:rFonts w:hint="eastAsia"/>
              </w:rPr>
              <w:t>1.</w:t>
            </w:r>
            <w:r>
              <w:rPr>
                <w:rFonts w:hint="eastAsia"/>
              </w:rPr>
              <w:tab/>
            </w:r>
            <w:r>
              <w:rPr>
                <w:rFonts w:hint="eastAsia"/>
              </w:rPr>
              <w:t>需要提供对于单组合或多组合汇总数据的展示和分析，包括：组合基本信息、组合绩效指标、组合特性指标、组合持仓指标等；</w:t>
            </w:r>
          </w:p>
          <w:p w14:paraId="093629EC">
            <w:pPr>
              <w:jc w:val="left"/>
            </w:pPr>
            <w:r>
              <w:rPr>
                <w:rFonts w:hint="eastAsia"/>
              </w:rPr>
              <w:t>2.</w:t>
            </w:r>
            <w:r>
              <w:rPr>
                <w:rFonts w:hint="eastAsia"/>
              </w:rPr>
              <w:tab/>
            </w:r>
            <w:r>
              <w:rPr>
                <w:rFonts w:hint="eastAsia"/>
              </w:rPr>
              <w:t>需要提供业绩基准比较功能，支持：组合与指数基准进行对比、组合与其他组合进行对比、基准比较等；</w:t>
            </w:r>
          </w:p>
        </w:tc>
        <w:tc>
          <w:tcPr>
            <w:tcW w:w="413" w:type="pct"/>
          </w:tcPr>
          <w:p w14:paraId="55BAB755">
            <w:r>
              <w:rPr>
                <w:rFonts w:hint="eastAsia"/>
              </w:rPr>
              <w:t>高</w:t>
            </w:r>
          </w:p>
        </w:tc>
      </w:tr>
      <w:tr w14:paraId="15F34EE9">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7C2A5AC8">
            <w:pPr>
              <w:rPr>
                <w:rFonts w:hint="eastAsia" w:eastAsia="等线"/>
                <w:lang w:eastAsia="zh-CN"/>
              </w:rPr>
            </w:pPr>
            <w:r>
              <w:rPr>
                <w:rFonts w:hint="eastAsia" w:eastAsia="等线" w:cs="Times New Roman"/>
                <w:color w:val="000000"/>
                <w:szCs w:val="21"/>
                <w:lang w:val="en-US" w:eastAsia="zh-CN"/>
              </w:rPr>
              <w:t>7</w:t>
            </w:r>
          </w:p>
        </w:tc>
        <w:tc>
          <w:tcPr>
            <w:tcW w:w="918" w:type="pct"/>
          </w:tcPr>
          <w:p w14:paraId="48D51B82">
            <w:r>
              <w:rPr>
                <w:rFonts w:hint="eastAsia"/>
              </w:rPr>
              <w:t>组合管理模块-持仓分析</w:t>
            </w:r>
          </w:p>
        </w:tc>
        <w:tc>
          <w:tcPr>
            <w:tcW w:w="3338" w:type="pct"/>
          </w:tcPr>
          <w:p w14:paraId="4ADFD83B">
            <w:pPr>
              <w:jc w:val="left"/>
            </w:pPr>
            <w:r>
              <w:rPr>
                <w:rFonts w:hint="eastAsia"/>
              </w:rPr>
              <w:t>1、根据交易生成每日持仓分析指标，包含仓位指标、债券指标</w:t>
            </w:r>
            <w:r>
              <w:br w:type="textWrapping"/>
            </w:r>
            <w:r>
              <w:rPr>
                <w:rFonts w:hint="eastAsia"/>
              </w:rPr>
              <w:t>2、需要支持将债券根据行业、期限、评级、券种、分行机构等维度进行下钻后的各层级数据统计</w:t>
            </w:r>
            <w:r>
              <w:br w:type="textWrapping"/>
            </w:r>
            <w:r>
              <w:rPr>
                <w:rFonts w:hint="eastAsia"/>
                <w:lang w:val="en-US" w:eastAsia="zh-CN"/>
              </w:rPr>
              <w:t>3</w:t>
            </w:r>
            <w:r>
              <w:rPr>
                <w:rFonts w:hint="eastAsia"/>
              </w:rPr>
              <w:t>、需要提供基于基准的持仓对比功能，支持组合自有资产与基准成分券的市值对比，到期收益率、剩余期限、久期、凸性、DV01等特性指标对比</w:t>
            </w:r>
          </w:p>
        </w:tc>
        <w:tc>
          <w:tcPr>
            <w:tcW w:w="413" w:type="pct"/>
          </w:tcPr>
          <w:p w14:paraId="09768A82">
            <w:r>
              <w:rPr>
                <w:rFonts w:hint="eastAsia"/>
              </w:rPr>
              <w:t>高</w:t>
            </w:r>
          </w:p>
        </w:tc>
      </w:tr>
      <w:tr w14:paraId="706538A0">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535D112A">
            <w:pPr>
              <w:rPr>
                <w:rFonts w:hint="eastAsia" w:eastAsia="等线"/>
                <w:lang w:eastAsia="zh-CN"/>
              </w:rPr>
            </w:pPr>
            <w:r>
              <w:rPr>
                <w:rFonts w:hint="eastAsia" w:eastAsia="等线" w:cs="Times New Roman"/>
                <w:color w:val="000000"/>
                <w:szCs w:val="21"/>
                <w:lang w:val="en-US" w:eastAsia="zh-CN"/>
              </w:rPr>
              <w:t>8</w:t>
            </w:r>
          </w:p>
        </w:tc>
        <w:tc>
          <w:tcPr>
            <w:tcW w:w="918" w:type="pct"/>
          </w:tcPr>
          <w:p w14:paraId="2347B754">
            <w:r>
              <w:rPr>
                <w:rFonts w:hint="eastAsia"/>
              </w:rPr>
              <w:t>组合管理模块-组合评价及业绩归因</w:t>
            </w:r>
          </w:p>
        </w:tc>
        <w:tc>
          <w:tcPr>
            <w:tcW w:w="3338" w:type="pct"/>
          </w:tcPr>
          <w:p w14:paraId="63019DDF">
            <w:pPr>
              <w:jc w:val="left"/>
            </w:pPr>
            <w:r>
              <w:rPr>
                <w:rFonts w:hint="eastAsia"/>
              </w:rPr>
              <w:t>1、提供组合的历史损益计算和相关分析，包括组合及各维度分类下整体以及标的的损益情况，如票息收益、资本利得、交易盈亏、已实现及未实现盈亏等</w:t>
            </w:r>
            <w:r>
              <w:br w:type="textWrapping"/>
            </w:r>
            <w:r>
              <w:rPr>
                <w:rFonts w:hint="eastAsia"/>
                <w:lang w:val="en-US" w:eastAsia="zh-CN"/>
              </w:rPr>
              <w:t>2</w:t>
            </w:r>
            <w:r>
              <w:rPr>
                <w:rFonts w:hint="eastAsia"/>
              </w:rPr>
              <w:t>、支持将不同券种、期限、评级的信用债及利率债与对应收益率曲线进行匹配后得到参考收益率，同时支持用户对参考收益率进行自定义设置</w:t>
            </w:r>
            <w:r>
              <w:br w:type="textWrapping"/>
            </w:r>
            <w:r>
              <w:rPr>
                <w:rFonts w:hint="eastAsia"/>
                <w:lang w:val="en-US" w:eastAsia="zh-CN"/>
              </w:rPr>
              <w:t>3</w:t>
            </w:r>
            <w:r>
              <w:rPr>
                <w:rFonts w:hint="eastAsia"/>
              </w:rPr>
              <w:t>、资产配置完成后，支持根据组合的三分类记账方式对组合进行市场曲线不同变动情况下的未来收益测算及情景发生概率的历史回归分析</w:t>
            </w:r>
            <w:r>
              <w:br w:type="textWrapping"/>
            </w:r>
            <w:r>
              <w:rPr>
                <w:rFonts w:hint="eastAsia"/>
                <w:lang w:val="en-US" w:eastAsia="zh-CN"/>
              </w:rPr>
              <w:t>4</w:t>
            </w:r>
            <w:r>
              <w:rPr>
                <w:rFonts w:hint="eastAsia"/>
              </w:rPr>
              <w:t>、提供Campisi归因分析可拓展到基于用户选定指数基准和组合之间超额收益的归因分析</w:t>
            </w:r>
          </w:p>
        </w:tc>
        <w:tc>
          <w:tcPr>
            <w:tcW w:w="413" w:type="pct"/>
          </w:tcPr>
          <w:p w14:paraId="04D3199D">
            <w:r>
              <w:rPr>
                <w:rFonts w:hint="eastAsia"/>
              </w:rPr>
              <w:t>高</w:t>
            </w:r>
          </w:p>
        </w:tc>
      </w:tr>
      <w:tr w14:paraId="68751C0A">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2737C2D9">
            <w:pPr>
              <w:rPr>
                <w:rFonts w:hint="eastAsia" w:eastAsia="等线"/>
                <w:lang w:eastAsia="zh-CN"/>
              </w:rPr>
            </w:pPr>
            <w:r>
              <w:rPr>
                <w:rFonts w:hint="eastAsia" w:eastAsia="等线" w:cs="Times New Roman"/>
                <w:color w:val="000000"/>
                <w:szCs w:val="21"/>
                <w:lang w:val="en-US" w:eastAsia="zh-CN"/>
              </w:rPr>
              <w:t>9</w:t>
            </w:r>
          </w:p>
        </w:tc>
        <w:tc>
          <w:tcPr>
            <w:tcW w:w="918" w:type="pct"/>
          </w:tcPr>
          <w:p w14:paraId="73C28CA1">
            <w:r>
              <w:rPr>
                <w:rFonts w:hint="eastAsia"/>
              </w:rPr>
              <w:t>组合管理模块-风险管理与分析</w:t>
            </w:r>
          </w:p>
        </w:tc>
        <w:tc>
          <w:tcPr>
            <w:tcW w:w="3338" w:type="pct"/>
          </w:tcPr>
          <w:p w14:paraId="6E2277E6">
            <w:pPr>
              <w:jc w:val="left"/>
              <w:rPr>
                <w:rFonts w:hint="eastAsia"/>
              </w:rPr>
            </w:pPr>
            <w:r>
              <w:rPr>
                <w:rFonts w:hint="eastAsia"/>
              </w:rPr>
              <w:t>1、提供组合现金流预测, 包括债券派息、兑付、行权等</w:t>
            </w:r>
            <w:r>
              <w:br w:type="textWrapping"/>
            </w:r>
            <w:r>
              <w:rPr>
                <w:rFonts w:hint="eastAsia"/>
              </w:rPr>
              <w:t>2、提供关键期限点基点价值、提供多层级不同资产分布下的基点价值指标展示，</w:t>
            </w:r>
          </w:p>
          <w:p w14:paraId="1B3CD40D">
            <w:pPr>
              <w:jc w:val="left"/>
            </w:pPr>
            <w:r>
              <w:rPr>
                <w:rFonts w:hint="eastAsia"/>
              </w:rPr>
              <w:t>3、基于无风险收益率曲线平移或扭转变动、再投资利率及融资成本变化等因素指标，提供对组合利率风险的敏感性分析</w:t>
            </w:r>
            <w:r>
              <w:br w:type="textWrapping"/>
            </w:r>
            <w:r>
              <w:rPr>
                <w:rFonts w:hint="eastAsia"/>
              </w:rPr>
              <w:t>4、支持历史情景再现或自定义情景下对自建组合表现变化进行模拟，并提供模拟组合在历史情景或自定义情景下表现的预测变化情况</w:t>
            </w:r>
          </w:p>
        </w:tc>
        <w:tc>
          <w:tcPr>
            <w:tcW w:w="413" w:type="pct"/>
          </w:tcPr>
          <w:p w14:paraId="3D4EA653">
            <w:r>
              <w:rPr>
                <w:rFonts w:hint="eastAsia"/>
              </w:rPr>
              <w:t>高</w:t>
            </w:r>
          </w:p>
        </w:tc>
      </w:tr>
      <w:tr w14:paraId="38D67AD5">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13844E8F">
            <w:pPr>
              <w:rPr>
                <w:rFonts w:hint="default" w:eastAsia="等线"/>
                <w:lang w:val="en-US" w:eastAsia="zh-CN"/>
              </w:rPr>
            </w:pPr>
            <w:r>
              <w:rPr>
                <w:rFonts w:hint="eastAsia" w:eastAsia="等线" w:cs="Times New Roman"/>
                <w:color w:val="000000"/>
                <w:szCs w:val="21"/>
                <w:lang w:val="en-US" w:eastAsia="zh-CN"/>
              </w:rPr>
              <w:t>10</w:t>
            </w:r>
          </w:p>
        </w:tc>
        <w:tc>
          <w:tcPr>
            <w:tcW w:w="918" w:type="pct"/>
          </w:tcPr>
          <w:p w14:paraId="5FAD4C1E">
            <w:r>
              <w:rPr>
                <w:rFonts w:hint="eastAsia"/>
              </w:rPr>
              <w:t>组合管理模块-组合簿记及清算估值</w:t>
            </w:r>
          </w:p>
        </w:tc>
        <w:tc>
          <w:tcPr>
            <w:tcW w:w="3338" w:type="pct"/>
          </w:tcPr>
          <w:p w14:paraId="4B7527EF">
            <w:pPr>
              <w:jc w:val="left"/>
            </w:pPr>
            <w:r>
              <w:rPr>
                <w:rFonts w:hint="eastAsia"/>
              </w:rPr>
              <w:t>组合簿记和清算估值在债券组合管理中发挥着至关重要的作用，它们共同确保了投资决策的透明度、风险控制的精确性和资产价值的公正性。系统应支持：</w:t>
            </w:r>
          </w:p>
          <w:p w14:paraId="426DC66A">
            <w:pPr>
              <w:jc w:val="left"/>
            </w:pPr>
            <w:r>
              <w:rPr>
                <w:rFonts w:hint="eastAsia"/>
              </w:rPr>
              <w:t>1)</w:t>
            </w:r>
            <w:r>
              <w:rPr>
                <w:rFonts w:hint="eastAsia"/>
              </w:rPr>
              <w:tab/>
            </w:r>
            <w:r>
              <w:rPr>
                <w:rFonts w:hint="eastAsia"/>
              </w:rPr>
              <w:t>根据债券交易场所调整估值价格源优先顺序。</w:t>
            </w:r>
          </w:p>
          <w:p w14:paraId="06B625B3">
            <w:pPr>
              <w:jc w:val="left"/>
            </w:pPr>
            <w:r>
              <w:rPr>
                <w:rFonts w:hint="eastAsia"/>
              </w:rPr>
              <w:t>2)</w:t>
            </w:r>
            <w:r>
              <w:rPr>
                <w:rFonts w:hint="eastAsia"/>
              </w:rPr>
              <w:tab/>
            </w:r>
            <w:r>
              <w:rPr>
                <w:rFonts w:hint="eastAsia"/>
              </w:rPr>
              <w:t>提供个券颗粒度在交易类、可供出售类及成本摊余的不同簿记方式下的单日及区间盈亏计算。</w:t>
            </w:r>
          </w:p>
          <w:p w14:paraId="069CFCAA">
            <w:pPr>
              <w:jc w:val="left"/>
            </w:pPr>
            <w:r>
              <w:rPr>
                <w:rFonts w:hint="eastAsia"/>
              </w:rPr>
              <w:t>3)</w:t>
            </w:r>
            <w:r>
              <w:rPr>
                <w:rFonts w:hint="eastAsia"/>
              </w:rPr>
              <w:tab/>
            </w:r>
            <w:r>
              <w:rPr>
                <w:rFonts w:hint="eastAsia"/>
              </w:rPr>
              <w:t>提供组合复权净值、单位净值、累计净值、总资产、总负债、净资产、持仓及盈亏清算模型。</w:t>
            </w:r>
          </w:p>
        </w:tc>
        <w:tc>
          <w:tcPr>
            <w:tcW w:w="413" w:type="pct"/>
          </w:tcPr>
          <w:p w14:paraId="4C1F09CB">
            <w:r>
              <w:rPr>
                <w:rFonts w:hint="eastAsia"/>
              </w:rPr>
              <w:t>高</w:t>
            </w:r>
          </w:p>
        </w:tc>
      </w:tr>
      <w:tr w14:paraId="1D88C1AE">
        <w:trPr>
          <w:jc w:val="center"/>
        </w:trPr>
        <w:tc>
          <w:tcPr>
            <w:tcW w:w="329" w:type="pct"/>
            <w:tcBorders>
              <w:top w:val="nil"/>
              <w:left w:val="single" w:color="auto" w:sz="4" w:space="0"/>
              <w:bottom w:val="single" w:color="auto" w:sz="4" w:space="0"/>
              <w:right w:val="single" w:color="auto" w:sz="4" w:space="0"/>
            </w:tcBorders>
            <w:shd w:val="clear" w:color="auto" w:fill="auto"/>
            <w:vAlign w:val="center"/>
          </w:tcPr>
          <w:p w14:paraId="48280A48">
            <w:pPr>
              <w:rPr>
                <w:rFonts w:hint="default" w:eastAsia="等线"/>
                <w:lang w:val="en-US" w:eastAsia="zh-CN"/>
              </w:rPr>
            </w:pPr>
            <w:r>
              <w:rPr>
                <w:rFonts w:hint="eastAsia" w:eastAsia="等线" w:cs="Times New Roman"/>
                <w:color w:val="000000"/>
                <w:szCs w:val="21"/>
                <w:lang w:val="en-US" w:eastAsia="zh-CN"/>
              </w:rPr>
              <w:t>11</w:t>
            </w:r>
          </w:p>
        </w:tc>
        <w:tc>
          <w:tcPr>
            <w:tcW w:w="918" w:type="pct"/>
            <w:tcBorders>
              <w:bottom w:val="single" w:color="auto" w:sz="4" w:space="0"/>
            </w:tcBorders>
          </w:tcPr>
          <w:p w14:paraId="58476597">
            <w:r>
              <w:rPr>
                <w:rFonts w:hint="eastAsia"/>
              </w:rPr>
              <w:t>金融工程数据及计算模块</w:t>
            </w:r>
          </w:p>
        </w:tc>
        <w:tc>
          <w:tcPr>
            <w:tcW w:w="3338" w:type="pct"/>
            <w:tcBorders>
              <w:bottom w:val="single" w:color="auto" w:sz="4" w:space="0"/>
            </w:tcBorders>
          </w:tcPr>
          <w:p w14:paraId="4E4E2CC8">
            <w:pPr>
              <w:jc w:val="left"/>
            </w:pPr>
            <w:r>
              <w:rPr>
                <w:rFonts w:hint="eastAsia"/>
              </w:rPr>
              <w:t>系统需整合交易数据，静态数据，市场数据，内嵌利率期限结构模型、债券定价估值模型、债券风险指标计算模型，并通过数据业务主键关联、模型构建关联关系等，汇入到</w:t>
            </w:r>
            <w:r>
              <w:rPr>
                <w:rFonts w:hint="eastAsia"/>
                <w:lang w:eastAsia="zh-CN"/>
              </w:rPr>
              <w:t>投组管理</w:t>
            </w:r>
            <w:r>
              <w:rPr>
                <w:rFonts w:hint="eastAsia"/>
              </w:rPr>
              <w:t>数据中台进行分析计算。</w:t>
            </w:r>
          </w:p>
        </w:tc>
        <w:tc>
          <w:tcPr>
            <w:tcW w:w="413" w:type="pct"/>
          </w:tcPr>
          <w:p w14:paraId="4122A513">
            <w:r>
              <w:rPr>
                <w:rFonts w:hint="eastAsia"/>
              </w:rPr>
              <w:t>高</w:t>
            </w:r>
          </w:p>
        </w:tc>
      </w:tr>
      <w:tr w14:paraId="43AAF4AA">
        <w:trPr>
          <w:jc w:val="center"/>
        </w:trPr>
        <w:tc>
          <w:tcPr>
            <w:tcW w:w="329" w:type="pct"/>
            <w:tcBorders>
              <w:top w:val="single" w:color="auto" w:sz="4" w:space="0"/>
              <w:left w:val="single" w:color="auto" w:sz="4" w:space="0"/>
              <w:bottom w:val="single" w:color="auto" w:sz="4" w:space="0"/>
              <w:right w:val="single" w:color="auto" w:sz="4" w:space="0"/>
            </w:tcBorders>
            <w:shd w:val="clear" w:color="auto" w:fill="auto"/>
            <w:vAlign w:val="center"/>
          </w:tcPr>
          <w:p w14:paraId="51852CC3">
            <w:pPr>
              <w:rPr>
                <w:rFonts w:hint="default" w:eastAsia="等线" w:cs="Times New Roman"/>
                <w:color w:val="000000"/>
                <w:szCs w:val="21"/>
                <w:lang w:val="en-US" w:eastAsia="zh-CN"/>
              </w:rPr>
            </w:pPr>
            <w:r>
              <w:rPr>
                <w:rFonts w:hint="eastAsia" w:eastAsia="等线" w:cs="Times New Roman"/>
                <w:color w:val="000000"/>
                <w:szCs w:val="21"/>
                <w:lang w:val="en-US" w:eastAsia="zh-CN"/>
              </w:rPr>
              <w:t>12</w:t>
            </w:r>
          </w:p>
        </w:tc>
        <w:tc>
          <w:tcPr>
            <w:tcW w:w="918" w:type="pct"/>
            <w:tcBorders>
              <w:top w:val="single" w:color="auto" w:sz="4" w:space="0"/>
            </w:tcBorders>
          </w:tcPr>
          <w:p w14:paraId="71CF82EC">
            <w:pPr>
              <w:rPr>
                <w:rFonts w:hint="default" w:eastAsia="等线" w:cs="Times New Roman"/>
                <w:color w:val="000000"/>
                <w:szCs w:val="21"/>
              </w:rPr>
            </w:pPr>
            <w:r>
              <w:rPr>
                <w:rFonts w:hint="eastAsia" w:eastAsia="宋体" w:cstheme="minorBidi"/>
                <w:szCs w:val="22"/>
                <w:lang w:val="en-US" w:eastAsia="zh-CN"/>
              </w:rPr>
              <w:t>组合资产覆盖</w:t>
            </w:r>
          </w:p>
        </w:tc>
        <w:tc>
          <w:tcPr>
            <w:tcW w:w="3338" w:type="pct"/>
            <w:tcBorders>
              <w:top w:val="single" w:color="auto" w:sz="4" w:space="0"/>
            </w:tcBorders>
          </w:tcPr>
          <w:p w14:paraId="5E93E222">
            <w:pPr>
              <w:ind w:firstLine="0" w:firstLineChars="0"/>
              <w:jc w:val="left"/>
              <w:rPr>
                <w:rFonts w:hint="eastAsia" w:ascii="Times New Roman" w:hAnsi="Times New Roman" w:eastAsia="宋体" w:cstheme="minorBidi"/>
                <w:kern w:val="2"/>
                <w:sz w:val="21"/>
                <w:szCs w:val="22"/>
              </w:rPr>
            </w:pPr>
            <w:r>
              <w:rPr>
                <w:rFonts w:hint="eastAsia" w:ascii="Times New Roman" w:hAnsi="Times New Roman" w:eastAsia="宋体" w:cstheme="minorBidi"/>
                <w:kern w:val="2"/>
                <w:sz w:val="21"/>
                <w:szCs w:val="22"/>
              </w:rPr>
              <w:t>人民币现券、</w:t>
            </w:r>
            <w:r>
              <w:rPr>
                <w:rFonts w:hint="eastAsia" w:ascii="Times New Roman" w:hAnsi="Times New Roman" w:eastAsia="宋体" w:cstheme="minorBidi"/>
                <w:kern w:val="2"/>
                <w:sz w:val="21"/>
                <w:szCs w:val="22"/>
                <w:lang w:val="en-US" w:eastAsia="zh-CN"/>
              </w:rPr>
              <w:t>债券借贷、利率衍生品（利率掉期、标准利率互换、标准债券远期）</w:t>
            </w:r>
            <w:r>
              <w:rPr>
                <w:rFonts w:hint="eastAsia" w:ascii="Times New Roman" w:hAnsi="Times New Roman" w:eastAsia="宋体" w:cstheme="minorBidi"/>
                <w:kern w:val="2"/>
                <w:sz w:val="21"/>
                <w:szCs w:val="22"/>
              </w:rPr>
              <w:t>。</w:t>
            </w:r>
          </w:p>
          <w:p w14:paraId="27EE2136">
            <w:pPr>
              <w:jc w:val="left"/>
              <w:rPr>
                <w:rFonts w:hint="eastAsia" w:eastAsia="等线" w:cs="Times New Roman"/>
                <w:color w:val="000000"/>
                <w:szCs w:val="21"/>
              </w:rPr>
            </w:pPr>
          </w:p>
        </w:tc>
        <w:tc>
          <w:tcPr>
            <w:tcW w:w="413" w:type="pct"/>
          </w:tcPr>
          <w:p w14:paraId="45A09E72">
            <w:pPr>
              <w:rPr>
                <w:rFonts w:hint="eastAsia" w:eastAsia="宋体"/>
                <w:lang w:val="en-US" w:eastAsia="zh-CN"/>
              </w:rPr>
            </w:pPr>
            <w:r>
              <w:rPr>
                <w:rFonts w:hint="eastAsia"/>
                <w:lang w:val="en-US" w:eastAsia="zh-CN"/>
              </w:rPr>
              <w:t>高</w:t>
            </w:r>
          </w:p>
        </w:tc>
      </w:tr>
    </w:tbl>
    <w:p w14:paraId="68D3E885"/>
    <w:p w14:paraId="118FD36C">
      <w:pPr>
        <w:jc w:val="both"/>
      </w:pPr>
    </w:p>
    <w:p w14:paraId="44F6C2D2">
      <w:pPr>
        <w:jc w:val="center"/>
      </w:pPr>
    </w:p>
    <w:p w14:paraId="30C11C53">
      <w:pPr>
        <w:pStyle w:val="2"/>
      </w:pPr>
      <w:bookmarkStart w:id="22" w:name="_Toc182934338"/>
      <w:bookmarkStart w:id="23" w:name="_Toc5245"/>
      <w:bookmarkStart w:id="24" w:name="_Toc184052900"/>
      <w:bookmarkStart w:id="25" w:name="_Toc19230"/>
      <w:bookmarkStart w:id="26" w:name="_Toc31343"/>
      <w:r>
        <w:rPr>
          <w:rFonts w:hint="eastAsia"/>
        </w:rPr>
        <w:t>业务功能需求</w:t>
      </w:r>
      <w:bookmarkEnd w:id="22"/>
      <w:bookmarkEnd w:id="23"/>
      <w:bookmarkEnd w:id="24"/>
      <w:bookmarkEnd w:id="25"/>
      <w:bookmarkEnd w:id="26"/>
    </w:p>
    <w:p w14:paraId="0473B689">
      <w:pPr>
        <w:pStyle w:val="3"/>
      </w:pPr>
      <w:bookmarkStart w:id="27" w:name="_Toc12360"/>
      <w:bookmarkStart w:id="28" w:name="_Toc184052953"/>
      <w:r>
        <w:rPr>
          <w:rFonts w:hint="eastAsia"/>
        </w:rPr>
        <w:t>用户管理模块</w:t>
      </w:r>
      <w:bookmarkEnd w:id="27"/>
      <w:bookmarkEnd w:id="28"/>
    </w:p>
    <w:p w14:paraId="78FEADB9">
      <w:pPr>
        <w:pStyle w:val="4"/>
      </w:pPr>
      <w:bookmarkStart w:id="29" w:name="_Toc184052954"/>
      <w:bookmarkStart w:id="30" w:name="_Toc16790"/>
      <w:r>
        <w:rPr>
          <w:rFonts w:hint="eastAsia"/>
        </w:rPr>
        <w:t>用户机构权限管理</w:t>
      </w:r>
      <w:bookmarkEnd w:id="29"/>
      <w:bookmarkEnd w:id="30"/>
    </w:p>
    <w:p w14:paraId="63B90DE0">
      <w:pPr>
        <w:pStyle w:val="5"/>
      </w:pPr>
      <w:r>
        <w:rPr>
          <w:rFonts w:hint="eastAsia"/>
        </w:rPr>
        <w:t>功能描述</w:t>
      </w:r>
    </w:p>
    <w:p w14:paraId="20DCE4E8">
      <w:pPr>
        <w:ind w:firstLine="480" w:firstLineChars="200"/>
        <w:rPr>
          <w:sz w:val="24"/>
          <w:szCs w:val="28"/>
        </w:rPr>
      </w:pPr>
      <w:r>
        <w:rPr>
          <w:sz w:val="24"/>
          <w:szCs w:val="28"/>
        </w:rPr>
        <w:t>该模块</w:t>
      </w:r>
      <w:r>
        <w:rPr>
          <w:rFonts w:hint="eastAsia"/>
          <w:sz w:val="24"/>
          <w:szCs w:val="28"/>
        </w:rPr>
        <w:t>主要帮助</w:t>
      </w:r>
      <w:r>
        <w:rPr>
          <w:sz w:val="24"/>
          <w:szCs w:val="28"/>
        </w:rPr>
        <w:t>系统管理员定义和管理不同用户的角色、权限，以及对系统各功能模块的访问控制</w:t>
      </w:r>
      <w:r>
        <w:rPr>
          <w:rFonts w:hint="eastAsia"/>
          <w:sz w:val="24"/>
          <w:szCs w:val="28"/>
        </w:rPr>
        <w:t>，</w:t>
      </w:r>
      <w:r>
        <w:rPr>
          <w:sz w:val="24"/>
          <w:szCs w:val="28"/>
        </w:rPr>
        <w:t>确保</w:t>
      </w:r>
      <w:r>
        <w:rPr>
          <w:rFonts w:hint="eastAsia"/>
          <w:sz w:val="24"/>
          <w:szCs w:val="28"/>
        </w:rPr>
        <w:t>行内</w:t>
      </w:r>
      <w:r>
        <w:rPr>
          <w:sz w:val="24"/>
          <w:szCs w:val="28"/>
        </w:rPr>
        <w:t>数据的安全性和合规性，同时提高工作效率。</w:t>
      </w:r>
    </w:p>
    <w:p w14:paraId="4875E3CF">
      <w:pPr>
        <w:ind w:firstLine="480" w:firstLineChars="200"/>
        <w:rPr>
          <w:sz w:val="24"/>
          <w:szCs w:val="28"/>
        </w:rPr>
      </w:pPr>
      <w:r>
        <w:rPr>
          <w:rFonts w:hint="eastAsia"/>
          <w:sz w:val="24"/>
          <w:szCs w:val="28"/>
        </w:rPr>
        <w:t>系统需支持用户机构、部门、岗位等角色设置，同时支持根据各角色控制各功能权限。</w:t>
      </w:r>
    </w:p>
    <w:p w14:paraId="2AD95D74">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741"/>
        <w:gridCol w:w="2620"/>
        <w:gridCol w:w="4359"/>
      </w:tblGrid>
      <w:tr w14:paraId="39D37D1E">
        <w:trPr>
          <w:tblHeader/>
          <w:jc w:val="center"/>
        </w:trPr>
        <w:tc>
          <w:tcPr>
            <w:tcW w:w="998" w:type="pct"/>
            <w:shd w:val="clear" w:color="auto" w:fill="E7E6E6" w:themeFill="background2"/>
          </w:tcPr>
          <w:p w14:paraId="4E79019B">
            <w:pPr>
              <w:jc w:val="center"/>
              <w:rPr>
                <w:b/>
              </w:rPr>
            </w:pPr>
            <w:r>
              <w:rPr>
                <w:rFonts w:hint="eastAsia"/>
                <w:b/>
              </w:rPr>
              <w:t>类型</w:t>
            </w:r>
          </w:p>
        </w:tc>
        <w:tc>
          <w:tcPr>
            <w:tcW w:w="1502" w:type="pct"/>
            <w:shd w:val="clear" w:color="auto" w:fill="E7E6E6" w:themeFill="background2"/>
          </w:tcPr>
          <w:p w14:paraId="38F0C2BB">
            <w:pPr>
              <w:jc w:val="center"/>
              <w:rPr>
                <w:b/>
              </w:rPr>
            </w:pPr>
            <w:r>
              <w:rPr>
                <w:rFonts w:hint="eastAsia"/>
                <w:b/>
              </w:rPr>
              <w:t>用户岗位描述</w:t>
            </w:r>
          </w:p>
        </w:tc>
        <w:tc>
          <w:tcPr>
            <w:tcW w:w="2498" w:type="pct"/>
            <w:shd w:val="clear" w:color="auto" w:fill="E7E6E6" w:themeFill="background2"/>
          </w:tcPr>
          <w:p w14:paraId="7CB2181B">
            <w:pPr>
              <w:jc w:val="center"/>
              <w:rPr>
                <w:b/>
              </w:rPr>
            </w:pPr>
            <w:r>
              <w:rPr>
                <w:rFonts w:hint="eastAsia"/>
                <w:b/>
              </w:rPr>
              <w:t>菜单归属或访问路径</w:t>
            </w:r>
          </w:p>
        </w:tc>
      </w:tr>
      <w:tr w14:paraId="114CE9AD">
        <w:trPr>
          <w:trHeight w:val="90" w:hRule="atLeast"/>
          <w:jc w:val="center"/>
        </w:trPr>
        <w:tc>
          <w:tcPr>
            <w:tcW w:w="998" w:type="pct"/>
          </w:tcPr>
          <w:p w14:paraId="7396A767">
            <w:pPr>
              <w:rPr>
                <w:rFonts w:hint="eastAsia" w:eastAsia="宋体"/>
                <w:lang w:eastAsia="zh-CN"/>
              </w:rPr>
            </w:pPr>
            <w:r>
              <w:rPr>
                <w:rFonts w:hint="eastAsia"/>
              </w:rPr>
              <w:t>业务</w:t>
            </w:r>
            <w:r>
              <w:rPr>
                <w:rFonts w:hint="eastAsia"/>
                <w:lang w:val="en-US" w:eastAsia="zh-CN"/>
              </w:rPr>
              <w:t>负责人</w:t>
            </w:r>
          </w:p>
        </w:tc>
        <w:tc>
          <w:tcPr>
            <w:tcW w:w="1502" w:type="pct"/>
          </w:tcPr>
          <w:p w14:paraId="4E4692E0">
            <w:r>
              <w:rPr>
                <w:rFonts w:hint="eastAsia"/>
              </w:rPr>
              <w:t>对基本权限进行配置</w:t>
            </w:r>
          </w:p>
        </w:tc>
        <w:tc>
          <w:tcPr>
            <w:tcW w:w="2498" w:type="pct"/>
          </w:tcPr>
          <w:p w14:paraId="425AB6EA">
            <w:r>
              <w:rPr>
                <w:rFonts w:hint="eastAsia"/>
              </w:rPr>
              <w:t>用户管理</w:t>
            </w:r>
          </w:p>
        </w:tc>
      </w:tr>
    </w:tbl>
    <w:p w14:paraId="355AC4B0">
      <w:pPr>
        <w:pStyle w:val="5"/>
      </w:pPr>
      <w:r>
        <w:rPr>
          <w:rFonts w:hint="eastAsia"/>
        </w:rPr>
        <w:t>操作步骤</w:t>
      </w:r>
    </w:p>
    <w:p w14:paraId="0C4DAB7A">
      <w:pPr>
        <w:rPr>
          <w:sz w:val="24"/>
        </w:rPr>
      </w:pPr>
      <w:r>
        <w:rPr>
          <w:rFonts w:hint="eastAsia"/>
          <w:sz w:val="24"/>
        </w:rPr>
        <w:t>作为业务</w:t>
      </w:r>
      <w:r>
        <w:rPr>
          <w:rFonts w:hint="eastAsia"/>
          <w:sz w:val="24"/>
          <w:lang w:eastAsia="zh-CN"/>
        </w:rPr>
        <w:t>负责人</w:t>
      </w:r>
      <w:r>
        <w:rPr>
          <w:rFonts w:hint="eastAsia"/>
          <w:sz w:val="24"/>
        </w:rPr>
        <w:t>，可以按如下步骤操作：</w:t>
      </w:r>
    </w:p>
    <w:p w14:paraId="0F41567B">
      <w:pPr>
        <w:pStyle w:val="44"/>
        <w:numPr>
          <w:ilvl w:val="0"/>
          <w:numId w:val="2"/>
        </w:numPr>
        <w:spacing w:before="120" w:after="120"/>
        <w:ind w:firstLineChars="0"/>
      </w:pPr>
      <w:r>
        <w:rPr>
          <w:rFonts w:hint="eastAsia"/>
        </w:rPr>
        <w:t>输入新用户的基本信息（如用户名、邮箱、所属部门、手机号等），对用户角色、账号属性、用户类型、用户状态以及用户可查看的菜单权限进行初始化配置。</w:t>
      </w:r>
    </w:p>
    <w:p w14:paraId="357F5FF7">
      <w:pPr>
        <w:pStyle w:val="44"/>
        <w:numPr>
          <w:ilvl w:val="0"/>
          <w:numId w:val="2"/>
        </w:numPr>
        <w:spacing w:before="120" w:after="120"/>
        <w:ind w:firstLineChars="0"/>
      </w:pPr>
      <w:r>
        <w:rPr>
          <w:rFonts w:hint="eastAsia"/>
        </w:rPr>
        <w:t>点击主页信息可批量化查看用户信息，支持批量化增删改查。</w:t>
      </w:r>
    </w:p>
    <w:p w14:paraId="6C91A199">
      <w:pPr>
        <w:pStyle w:val="44"/>
        <w:numPr>
          <w:ilvl w:val="0"/>
          <w:numId w:val="2"/>
        </w:numPr>
        <w:spacing w:before="120" w:after="120"/>
        <w:ind w:firstLineChars="0"/>
      </w:pPr>
      <w:r>
        <w:rPr>
          <w:rFonts w:hint="eastAsia"/>
        </w:rPr>
        <w:t>编辑用户信息，选择要编辑的用户，修改用户信息或权限配置，保存更改。</w:t>
      </w:r>
    </w:p>
    <w:p w14:paraId="3595F736">
      <w:pPr>
        <w:pStyle w:val="44"/>
        <w:numPr>
          <w:ilvl w:val="0"/>
          <w:numId w:val="2"/>
        </w:numPr>
        <w:spacing w:before="120" w:after="120"/>
        <w:ind w:firstLineChars="0"/>
      </w:pPr>
      <w:r>
        <w:rPr>
          <w:rFonts w:hint="eastAsia"/>
        </w:rPr>
        <w:t>删除用户，选择需要删除的用户，确认删除操作，系统将禁用该用户账户。</w:t>
      </w:r>
    </w:p>
    <w:p w14:paraId="284505AE">
      <w:pPr>
        <w:pStyle w:val="44"/>
        <w:spacing w:before="120" w:after="120"/>
        <w:ind w:firstLine="0" w:firstLineChars="0"/>
        <w:jc w:val="center"/>
        <w:rPr>
          <w:rFonts w:hint="eastAsia"/>
        </w:rPr>
      </w:pPr>
    </w:p>
    <w:p w14:paraId="283B67B8">
      <w:pPr>
        <w:pStyle w:val="44"/>
        <w:spacing w:before="120" w:after="120"/>
        <w:ind w:firstLine="480"/>
      </w:pPr>
    </w:p>
    <w:p w14:paraId="7B7EA8A7">
      <w:pPr>
        <w:pStyle w:val="5"/>
      </w:pPr>
      <w:r>
        <w:rPr>
          <w:rFonts w:hint="eastAsia"/>
        </w:rPr>
        <w:t>业务规则说明</w:t>
      </w:r>
    </w:p>
    <w:p w14:paraId="00C94E58">
      <w:pPr>
        <w:pStyle w:val="6"/>
      </w:pPr>
      <w:r>
        <w:rPr>
          <w:rFonts w:hint="eastAsia"/>
        </w:rPr>
        <w:t>业务处理规则</w:t>
      </w:r>
    </w:p>
    <w:p w14:paraId="6D9B59BA">
      <w:pPr>
        <w:pStyle w:val="44"/>
        <w:numPr>
          <w:ilvl w:val="0"/>
          <w:numId w:val="3"/>
        </w:numPr>
        <w:spacing w:before="120" w:after="120"/>
        <w:ind w:firstLineChars="0"/>
      </w:pPr>
      <w:r>
        <w:rPr>
          <w:rFonts w:hint="eastAsia"/>
        </w:rPr>
        <w:t>投资组合数据的查看权限支持根据内部权限系统权限分类设定，来配置默认权限规则</w:t>
      </w:r>
    </w:p>
    <w:p w14:paraId="3BB2E0F5">
      <w:pPr>
        <w:pStyle w:val="6"/>
      </w:pPr>
      <w:r>
        <w:rPr>
          <w:rFonts w:hint="eastAsia"/>
        </w:rPr>
        <w:t>授权复核场景与规则</w:t>
      </w:r>
    </w:p>
    <w:p w14:paraId="2D5F4C01">
      <w:pPr>
        <w:ind w:firstLine="420"/>
      </w:pPr>
      <w:r>
        <w:rPr>
          <w:rFonts w:hint="eastAsia"/>
        </w:rPr>
        <w:t>不涉及。</w:t>
      </w:r>
    </w:p>
    <w:p w14:paraId="67BCA4DA">
      <w:pPr>
        <w:pStyle w:val="6"/>
      </w:pPr>
      <w:r>
        <w:rPr>
          <w:rFonts w:hint="eastAsia"/>
        </w:rPr>
        <w:t>收费场景与规则</w:t>
      </w:r>
    </w:p>
    <w:p w14:paraId="070188F0">
      <w:pPr>
        <w:ind w:firstLine="420"/>
      </w:pPr>
      <w:r>
        <w:rPr>
          <w:rFonts w:hint="eastAsia"/>
        </w:rPr>
        <w:t>不涉及。</w:t>
      </w:r>
    </w:p>
    <w:p w14:paraId="2461E8D3">
      <w:pPr>
        <w:pStyle w:val="6"/>
      </w:pPr>
      <w:r>
        <w:rPr>
          <w:rFonts w:hint="eastAsia"/>
        </w:rPr>
        <w:t>核算场景与规则</w:t>
      </w:r>
    </w:p>
    <w:p w14:paraId="1CBE68F1">
      <w:pPr>
        <w:ind w:firstLine="420"/>
      </w:pPr>
      <w:r>
        <w:rPr>
          <w:rFonts w:hint="eastAsia"/>
        </w:rPr>
        <w:t>不涉及。</w:t>
      </w:r>
    </w:p>
    <w:p w14:paraId="1C95B57A">
      <w:pPr>
        <w:pStyle w:val="5"/>
      </w:pPr>
      <w:r>
        <w:rPr>
          <w:rFonts w:hint="eastAsia"/>
        </w:rPr>
        <w:t>后续业务处理</w:t>
      </w:r>
    </w:p>
    <w:p w14:paraId="508AE1E2">
      <w:pPr>
        <w:ind w:firstLine="480" w:firstLineChars="200"/>
        <w:rPr>
          <w:sz w:val="24"/>
          <w:szCs w:val="28"/>
        </w:rPr>
      </w:pPr>
      <w:r>
        <w:rPr>
          <w:rFonts w:hint="eastAsia"/>
          <w:sz w:val="24"/>
          <w:szCs w:val="28"/>
        </w:rPr>
        <w:t>根据此模块确认的权限配置范围来控制各角色可查看编辑的功能模块以及投组信息。</w:t>
      </w:r>
    </w:p>
    <w:p w14:paraId="77D1D31C">
      <w:pPr>
        <w:pStyle w:val="5"/>
      </w:pPr>
      <w:r>
        <w:rPr>
          <w:rFonts w:hint="eastAsia"/>
        </w:rPr>
        <w:t>异常及备注处理</w:t>
      </w:r>
    </w:p>
    <w:p w14:paraId="7AFA1060">
      <w:pPr>
        <w:pStyle w:val="44"/>
        <w:numPr>
          <w:ilvl w:val="0"/>
          <w:numId w:val="4"/>
        </w:numPr>
        <w:spacing w:before="120" w:after="120"/>
        <w:ind w:left="426" w:firstLineChars="0"/>
      </w:pPr>
      <w:r>
        <w:rPr>
          <w:rFonts w:hint="eastAsia"/>
        </w:rPr>
        <w:t>权限冲突：若用户直接分配的权限与角色权限冲突，系统将以最严格的权限为准。</w:t>
      </w:r>
    </w:p>
    <w:p w14:paraId="5912D8E5">
      <w:pPr>
        <w:pStyle w:val="44"/>
        <w:numPr>
          <w:ilvl w:val="0"/>
          <w:numId w:val="4"/>
        </w:numPr>
        <w:spacing w:before="120" w:after="120"/>
        <w:ind w:left="426" w:firstLineChars="0"/>
      </w:pPr>
      <w:r>
        <w:rPr>
          <w:rFonts w:hint="eastAsia"/>
        </w:rPr>
        <w:t>权限回收：对于离职或变更职位的用户，应及时回收或调整其权限。</w:t>
      </w:r>
    </w:p>
    <w:p w14:paraId="3A43E9C6">
      <w:pPr>
        <w:pStyle w:val="44"/>
        <w:numPr>
          <w:ilvl w:val="0"/>
          <w:numId w:val="4"/>
        </w:numPr>
        <w:spacing w:before="120" w:after="120"/>
        <w:ind w:left="426" w:firstLineChars="0"/>
      </w:pPr>
      <w:r>
        <w:rPr>
          <w:rFonts w:hint="eastAsia"/>
        </w:rPr>
        <w:t>应用调取数据出错时，需提示易于理解的信息和后续操作步骤，不要直接提示技术类的错误信息。并将异常信息记录到日志文件中，以便开发人员分析和调试。</w:t>
      </w:r>
    </w:p>
    <w:p w14:paraId="5B7EA17E"/>
    <w:p w14:paraId="0F16CA13">
      <w:pPr>
        <w:rPr>
          <w:sz w:val="24"/>
          <w:szCs w:val="24"/>
        </w:rPr>
      </w:pPr>
    </w:p>
    <w:p w14:paraId="234041EF">
      <w:pPr>
        <w:rPr>
          <w:sz w:val="24"/>
          <w:szCs w:val="24"/>
        </w:rPr>
      </w:pPr>
    </w:p>
    <w:p w14:paraId="2233476A">
      <w:pPr>
        <w:pStyle w:val="3"/>
      </w:pPr>
      <w:bookmarkStart w:id="31" w:name="_Toc30796"/>
      <w:bookmarkStart w:id="32" w:name="_Toc182934348"/>
      <w:bookmarkStart w:id="33" w:name="_Toc184052964"/>
      <w:bookmarkStart w:id="34" w:name="_Toc21556"/>
      <w:bookmarkStart w:id="35" w:name="_Toc181971944"/>
      <w:r>
        <w:rPr>
          <w:rFonts w:hint="eastAsia"/>
        </w:rPr>
        <w:t>组合管理模块</w:t>
      </w:r>
      <w:bookmarkEnd w:id="31"/>
      <w:bookmarkEnd w:id="32"/>
      <w:bookmarkEnd w:id="33"/>
      <w:bookmarkEnd w:id="34"/>
      <w:bookmarkEnd w:id="35"/>
    </w:p>
    <w:p w14:paraId="09F35C61">
      <w:pPr>
        <w:ind w:firstLine="364" w:firstLineChars="152"/>
        <w:jc w:val="left"/>
        <w:rPr>
          <w:rFonts w:hint="eastAsia" w:cs="仿宋_GB2312" w:asciiTheme="minorEastAsia" w:hAnsiTheme="minorEastAsia" w:eastAsiaTheme="minorEastAsia"/>
          <w:color w:val="000000" w:themeColor="text1"/>
          <w:kern w:val="0"/>
          <w:sz w:val="24"/>
          <w:szCs w:val="24"/>
          <w:highlight w:val="yellow"/>
          <w14:textFill>
            <w14:solidFill>
              <w14:schemeClr w14:val="tx1"/>
            </w14:solidFill>
          </w14:textFill>
        </w:rPr>
      </w:pPr>
      <w:r>
        <w:rPr>
          <w:rFonts w:hint="eastAsia" w:cs="仿宋_GB2312" w:asciiTheme="minorEastAsia" w:hAnsiTheme="minorEastAsia" w:eastAsiaTheme="minorEastAsia"/>
          <w:color w:val="000000" w:themeColor="text1"/>
          <w:kern w:val="0"/>
          <w:sz w:val="24"/>
          <w:szCs w:val="24"/>
          <w14:textFill>
            <w14:solidFill>
              <w14:schemeClr w14:val="tx1"/>
            </w14:solidFill>
          </w14:textFill>
        </w:rPr>
        <w:t>组合管理模块需要覆盖交易所、银行间和场外三个市场，业务交易类型需支持</w:t>
      </w:r>
      <w:r>
        <w:rPr>
          <w:rFonts w:hint="eastAsia" w:cs="仿宋_GB2312" w:asciiTheme="minorEastAsia" w:hAnsiTheme="minorEastAsia" w:eastAsiaTheme="minorEastAsia"/>
          <w:color w:val="000000" w:themeColor="text1"/>
          <w:kern w:val="0"/>
          <w:sz w:val="24"/>
          <w:szCs w:val="24"/>
          <w:highlight w:val="none"/>
          <w14:textFill>
            <w14:solidFill>
              <w14:schemeClr w14:val="tx1"/>
            </w14:solidFill>
          </w14:textFill>
        </w:rPr>
        <w:t>人民币现券、</w:t>
      </w:r>
      <w:r>
        <w:rPr>
          <w:rFonts w:hint="eastAsia" w:cs="仿宋_GB2312" w:asciiTheme="minorEastAsia" w:hAnsiTheme="minorEastAsia" w:eastAsiaTheme="minorEastAsia"/>
          <w:color w:val="000000" w:themeColor="text1"/>
          <w:kern w:val="0"/>
          <w:sz w:val="24"/>
          <w:szCs w:val="24"/>
          <w:highlight w:val="none"/>
          <w:lang w:val="en-US" w:eastAsia="zh-CN"/>
          <w14:textFill>
            <w14:solidFill>
              <w14:schemeClr w14:val="tx1"/>
            </w14:solidFill>
          </w14:textFill>
        </w:rPr>
        <w:t>债券借贷、利率衍生品（利率掉期、标准利率互换、标准债券远期）</w:t>
      </w:r>
      <w:r>
        <w:rPr>
          <w:rFonts w:hint="eastAsia" w:cs="仿宋_GB2312" w:asciiTheme="minorEastAsia" w:hAnsiTheme="minorEastAsia" w:eastAsiaTheme="minorEastAsia"/>
          <w:color w:val="000000" w:themeColor="text1"/>
          <w:kern w:val="0"/>
          <w:sz w:val="24"/>
          <w:szCs w:val="24"/>
          <w:highlight w:val="none"/>
          <w14:textFill>
            <w14:solidFill>
              <w14:schemeClr w14:val="tx1"/>
            </w14:solidFill>
          </w14:textFill>
        </w:rPr>
        <w:t>。</w:t>
      </w:r>
    </w:p>
    <w:p w14:paraId="3B8DE5D0">
      <w:pPr>
        <w:pStyle w:val="4"/>
      </w:pPr>
      <w:bookmarkStart w:id="36" w:name="_Toc184053074"/>
      <w:bookmarkStart w:id="37" w:name="_Toc28149"/>
      <w:bookmarkStart w:id="38" w:name="_Toc13632"/>
      <w:bookmarkStart w:id="39" w:name="_Toc182934350"/>
      <w:bookmarkStart w:id="40" w:name="_Toc181971947"/>
      <w:r>
        <w:rPr>
          <w:rFonts w:hint="eastAsia"/>
        </w:rPr>
        <w:t>综合管理</w:t>
      </w:r>
      <w:bookmarkEnd w:id="36"/>
      <w:bookmarkEnd w:id="37"/>
    </w:p>
    <w:p w14:paraId="5959F3BA">
      <w:pPr>
        <w:pStyle w:val="5"/>
        <w:rPr>
          <w:rFonts w:hint="eastAsia"/>
        </w:rPr>
      </w:pPr>
      <w:r>
        <w:rPr>
          <w:rFonts w:hint="eastAsia"/>
        </w:rPr>
        <w:t>功能描述</w:t>
      </w:r>
    </w:p>
    <w:p w14:paraId="6AD9B304">
      <w:pPr>
        <w:ind w:firstLine="364" w:firstLineChars="152"/>
        <w:jc w:val="left"/>
        <w:rPr>
          <w:sz w:val="24"/>
        </w:rPr>
      </w:pPr>
      <w:r>
        <w:rPr>
          <w:rFonts w:hint="eastAsia"/>
          <w:sz w:val="24"/>
        </w:rPr>
        <w:t>系统需要提供账簿树功能，支持多层级自定义组合分组，支持从策略、交易员、簿记方式等多种维度将组合进行灵活分组，并支持分组的增、删、改操作。</w:t>
      </w:r>
    </w:p>
    <w:p w14:paraId="2A631451">
      <w:pPr>
        <w:ind w:firstLine="364" w:firstLineChars="152"/>
        <w:jc w:val="left"/>
        <w:rPr>
          <w:sz w:val="24"/>
        </w:rPr>
      </w:pPr>
      <w:r>
        <w:rPr>
          <w:rFonts w:hint="eastAsia"/>
          <w:sz w:val="24"/>
        </w:rPr>
        <w:t>系统应通过综合管理对现有组合以及模拟组合进行统一和高效的方式来查看、管理组合情况、价格异动、未来现金流提醒、事后风险合规指标等信息。主要功能应至少包括：</w:t>
      </w:r>
    </w:p>
    <w:p w14:paraId="629DD23C">
      <w:pPr>
        <w:ind w:firstLine="240" w:firstLineChars="100"/>
        <w:jc w:val="left"/>
        <w:rPr>
          <w:rFonts w:hint="eastAsia"/>
          <w:sz w:val="24"/>
        </w:rPr>
      </w:pPr>
      <w:r>
        <w:rPr>
          <w:rFonts w:hint="eastAsia"/>
          <w:sz w:val="24"/>
        </w:rPr>
        <w:t>（1）需要提供多组合信息汇总统计功能、持仓分布及盈亏数据统计，包括现有组合汇总以及模拟组合信息的汇总统计。</w:t>
      </w:r>
    </w:p>
    <w:p w14:paraId="175ABCA6">
      <w:pPr>
        <w:ind w:firstLine="240" w:firstLineChars="100"/>
        <w:jc w:val="left"/>
        <w:rPr>
          <w:sz w:val="24"/>
        </w:rPr>
      </w:pPr>
      <w:r>
        <w:rPr>
          <w:rFonts w:hint="eastAsia"/>
          <w:sz w:val="24"/>
        </w:rPr>
        <w:t>（2）需要提供组合日历功能, 对当日计划发生的债券派息、兑付等现金流进行统计及提示；</w:t>
      </w:r>
    </w:p>
    <w:p w14:paraId="1D00A8FB">
      <w:pPr>
        <w:spacing w:before="120" w:after="120"/>
        <w:ind w:firstLine="240" w:firstLineChars="100"/>
        <w:jc w:val="left"/>
      </w:pPr>
      <w:r>
        <w:rPr>
          <w:rFonts w:hint="eastAsia"/>
          <w:sz w:val="24"/>
        </w:rPr>
        <w:t>（3）需要对组合持仓中异动资产进行风险提示，如债券估值偏离、价格异动、主体利差变动等，并支持异动阈值的自定义设置。</w:t>
      </w:r>
    </w:p>
    <w:p w14:paraId="32CF7130">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4297D31A">
        <w:trPr>
          <w:tblHeader/>
          <w:jc w:val="center"/>
        </w:trPr>
        <w:tc>
          <w:tcPr>
            <w:tcW w:w="848" w:type="pct"/>
            <w:shd w:val="clear" w:color="auto" w:fill="E7E6E6" w:themeFill="background2"/>
          </w:tcPr>
          <w:p w14:paraId="7347B7F6">
            <w:pPr>
              <w:jc w:val="center"/>
              <w:rPr>
                <w:b/>
              </w:rPr>
            </w:pPr>
            <w:r>
              <w:rPr>
                <w:rFonts w:hint="eastAsia"/>
                <w:b/>
              </w:rPr>
              <w:t>类型</w:t>
            </w:r>
          </w:p>
        </w:tc>
        <w:tc>
          <w:tcPr>
            <w:tcW w:w="1653" w:type="pct"/>
            <w:shd w:val="clear" w:color="auto" w:fill="E7E6E6" w:themeFill="background2"/>
          </w:tcPr>
          <w:p w14:paraId="4C9E6603">
            <w:pPr>
              <w:jc w:val="center"/>
              <w:rPr>
                <w:b/>
              </w:rPr>
            </w:pPr>
            <w:r>
              <w:rPr>
                <w:rFonts w:hint="eastAsia"/>
                <w:b/>
              </w:rPr>
              <w:t>用户岗位描述</w:t>
            </w:r>
          </w:p>
        </w:tc>
        <w:tc>
          <w:tcPr>
            <w:tcW w:w="2498" w:type="pct"/>
            <w:shd w:val="clear" w:color="auto" w:fill="E7E6E6" w:themeFill="background2"/>
          </w:tcPr>
          <w:p w14:paraId="13B6CE31">
            <w:pPr>
              <w:jc w:val="center"/>
              <w:rPr>
                <w:b/>
              </w:rPr>
            </w:pPr>
            <w:r>
              <w:rPr>
                <w:rFonts w:hint="eastAsia"/>
                <w:b/>
              </w:rPr>
              <w:t>菜单归属或访问路径</w:t>
            </w:r>
          </w:p>
        </w:tc>
      </w:tr>
      <w:tr w14:paraId="1EE30D35">
        <w:trPr>
          <w:jc w:val="center"/>
        </w:trPr>
        <w:tc>
          <w:tcPr>
            <w:tcW w:w="848" w:type="pct"/>
          </w:tcPr>
          <w:p w14:paraId="57BA1544">
            <w:r>
              <w:rPr>
                <w:rFonts w:hint="eastAsia"/>
              </w:rPr>
              <w:t>行内员工</w:t>
            </w:r>
          </w:p>
        </w:tc>
        <w:tc>
          <w:tcPr>
            <w:tcW w:w="1653" w:type="pct"/>
          </w:tcPr>
          <w:p w14:paraId="3A8D9C2B"/>
        </w:tc>
        <w:tc>
          <w:tcPr>
            <w:tcW w:w="2498" w:type="pct"/>
          </w:tcPr>
          <w:p w14:paraId="6C04E062"/>
        </w:tc>
      </w:tr>
    </w:tbl>
    <w:p w14:paraId="4574CFDD">
      <w:pPr>
        <w:pStyle w:val="5"/>
        <w:rPr>
          <w:sz w:val="24"/>
        </w:rPr>
      </w:pPr>
      <w:r>
        <w:rPr>
          <w:rFonts w:hint="eastAsia"/>
        </w:rPr>
        <w:t>操作步骤</w:t>
      </w:r>
    </w:p>
    <w:p w14:paraId="16BA3D14">
      <w:pPr>
        <w:ind w:firstLine="480" w:firstLineChars="200"/>
        <w:rPr>
          <w:sz w:val="24"/>
        </w:rPr>
      </w:pPr>
      <w:r>
        <w:rPr>
          <w:rFonts w:hint="eastAsia"/>
          <w:sz w:val="24"/>
        </w:rPr>
        <w:t>系统需支持交易员可以做如下相关操作：</w:t>
      </w:r>
    </w:p>
    <w:p w14:paraId="2562ABEA">
      <w:pPr>
        <w:pStyle w:val="44"/>
        <w:spacing w:before="120" w:after="120"/>
        <w:ind w:firstLine="480"/>
      </w:pPr>
      <w:r>
        <w:rPr>
          <w:rFonts w:hint="eastAsia"/>
        </w:rPr>
        <w:t>1.系统支持以组合管理驾驶舱的形式提供多维度的组合数据展示，包括资产概览、业绩表现、持仓盈亏、组合日历等。</w:t>
      </w:r>
    </w:p>
    <w:p w14:paraId="5AA4597D">
      <w:pPr>
        <w:pStyle w:val="44"/>
        <w:spacing w:before="120" w:after="120"/>
        <w:ind w:firstLine="480"/>
      </w:pPr>
      <w:r>
        <w:rPr>
          <w:rFonts w:hint="eastAsia"/>
        </w:rPr>
        <w:t>2.通过各类仪表盘监控多组合的表现情况，查看关键指标的摘要信息。</w:t>
      </w:r>
    </w:p>
    <w:p w14:paraId="41D1074B">
      <w:pPr>
        <w:pStyle w:val="44"/>
        <w:spacing w:before="120" w:after="120"/>
        <w:ind w:left="480" w:firstLine="0" w:firstLineChars="0"/>
      </w:pPr>
      <w:r>
        <w:rPr>
          <w:rFonts w:hint="eastAsia"/>
        </w:rPr>
        <w:t>3.</w:t>
      </w:r>
      <w:r>
        <w:t>使用驾驶舱提供的工具分组合表现，包括</w:t>
      </w:r>
      <w:r>
        <w:rPr>
          <w:rFonts w:hint="eastAsia"/>
        </w:rPr>
        <w:t>价格异动、持仓盈亏</w:t>
      </w:r>
      <w:r>
        <w:t>等</w:t>
      </w:r>
      <w:r>
        <w:rPr>
          <w:rFonts w:hint="eastAsia"/>
        </w:rPr>
        <w:t>。</w:t>
      </w:r>
    </w:p>
    <w:p w14:paraId="68ED4736">
      <w:pPr>
        <w:pStyle w:val="44"/>
        <w:spacing w:before="120" w:after="120"/>
        <w:ind w:left="480" w:firstLine="0" w:firstLineChars="0"/>
      </w:pPr>
      <w:r>
        <w:rPr>
          <w:rFonts w:hint="eastAsia"/>
        </w:rPr>
        <w:t>4.可以根据用户个人喜好，设置个性化的视图和布局。</w:t>
      </w:r>
    </w:p>
    <w:p w14:paraId="748132AC">
      <w:pPr>
        <w:pStyle w:val="44"/>
        <w:spacing w:before="120" w:after="120"/>
        <w:ind w:left="480" w:firstLine="0" w:firstLineChars="0"/>
      </w:pPr>
      <w:r>
        <w:rPr>
          <w:rFonts w:hint="eastAsia"/>
        </w:rPr>
        <w:t>5.对于分析类指标，</w:t>
      </w:r>
      <w:r>
        <w:rPr>
          <w:rFonts w:hint="eastAsia"/>
          <w:bCs/>
        </w:rPr>
        <w:t>支持“钻取式查询”和多类筛选查询工具。</w:t>
      </w:r>
    </w:p>
    <w:p w14:paraId="13F3E4C6">
      <w:pPr>
        <w:pStyle w:val="5"/>
      </w:pPr>
      <w:r>
        <w:rPr>
          <w:rFonts w:hint="eastAsia"/>
        </w:rPr>
        <w:t>用户界面</w:t>
      </w:r>
    </w:p>
    <w:p w14:paraId="6FBAF56B">
      <w:pPr>
        <w:pStyle w:val="6"/>
      </w:pPr>
      <w:r>
        <w:rPr>
          <w:rFonts w:hint="eastAsia"/>
        </w:rPr>
        <w:t>界面示意图</w:t>
      </w:r>
    </w:p>
    <w:p w14:paraId="2DDBF15A">
      <w:pPr>
        <w:pStyle w:val="44"/>
        <w:spacing w:before="120" w:after="120"/>
        <w:ind w:firstLine="480"/>
      </w:pPr>
      <w:r>
        <w:drawing>
          <wp:inline distT="0" distB="0" distL="0" distR="0">
            <wp:extent cx="5400040" cy="3021330"/>
            <wp:effectExtent l="0" t="0" r="0" b="7620"/>
            <wp:docPr id="18403192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9226"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400040" cy="3021330"/>
                    </a:xfrm>
                    <a:prstGeom prst="rect">
                      <a:avLst/>
                    </a:prstGeom>
                    <a:noFill/>
                    <a:ln>
                      <a:noFill/>
                    </a:ln>
                  </pic:spPr>
                </pic:pic>
              </a:graphicData>
            </a:graphic>
          </wp:inline>
        </w:drawing>
      </w:r>
    </w:p>
    <w:p w14:paraId="45176052">
      <w:pPr>
        <w:pStyle w:val="44"/>
        <w:spacing w:before="120" w:after="120"/>
        <w:ind w:firstLine="480"/>
        <w:jc w:val="center"/>
      </w:pPr>
      <w:r>
        <w:rPr>
          <w:rFonts w:hint="eastAsia"/>
        </w:rPr>
        <w:t>综合管理</w:t>
      </w:r>
    </w:p>
    <w:p w14:paraId="798539EB">
      <w:pPr>
        <w:pStyle w:val="44"/>
        <w:spacing w:before="120" w:after="120"/>
        <w:ind w:firstLine="482"/>
        <w:rPr>
          <w:b/>
        </w:rPr>
      </w:pPr>
      <w:r>
        <w:rPr>
          <w:rFonts w:hint="eastAsia"/>
          <w:b/>
        </w:rPr>
        <w:t>界面布局要求与说明：</w:t>
      </w:r>
    </w:p>
    <w:p w14:paraId="59800408">
      <w:pPr>
        <w:pStyle w:val="44"/>
        <w:spacing w:before="120" w:after="120"/>
        <w:ind w:firstLine="482"/>
        <w:rPr>
          <w:bCs/>
        </w:rPr>
      </w:pPr>
      <w:r>
        <w:rPr>
          <w:rFonts w:hint="eastAsia"/>
          <w:b/>
        </w:rPr>
        <w:t>数据整合和可视化：</w:t>
      </w:r>
      <w:r>
        <w:rPr>
          <w:rFonts w:hint="eastAsia"/>
          <w:bCs/>
        </w:rPr>
        <w:t>界面排版清晰，功能列表逻辑，能够利用图表和仪表盘等形式，直观地显示各项指标，支持“钻取式查询”，实现对指标的逐层细化和深化分析。</w:t>
      </w:r>
    </w:p>
    <w:p w14:paraId="16F62168">
      <w:pPr>
        <w:pStyle w:val="44"/>
        <w:spacing w:before="120" w:after="120"/>
        <w:ind w:firstLine="482"/>
        <w:rPr>
          <w:bCs/>
        </w:rPr>
      </w:pPr>
      <w:r>
        <w:rPr>
          <w:b/>
          <w:bCs/>
        </w:rPr>
        <w:t>用户界面设计</w:t>
      </w:r>
      <w:r>
        <w:rPr>
          <w:rFonts w:hint="eastAsia"/>
          <w:b/>
          <w:bCs/>
        </w:rPr>
        <w:t>：</w:t>
      </w:r>
      <w:r>
        <w:rPr>
          <w:rFonts w:hint="eastAsia"/>
        </w:rPr>
        <w:t>采用直观的用户界面设计，通过各种动态表格展现组合的情况，提高用户体验和数据的可读性</w:t>
      </w:r>
    </w:p>
    <w:p w14:paraId="3B08FEA8">
      <w:pPr>
        <w:pStyle w:val="44"/>
        <w:spacing w:before="120" w:after="120"/>
        <w:ind w:firstLine="482"/>
      </w:pPr>
      <w:r>
        <w:rPr>
          <w:b/>
          <w:bCs/>
        </w:rPr>
        <w:t>布局排版</w:t>
      </w:r>
      <w:r>
        <w:t>：根据业务指标进行排版，主次分明，将有关联的指标相邻或靠近，减少</w:t>
      </w:r>
      <w:r>
        <w:rPr>
          <w:rFonts w:hint="eastAsia"/>
        </w:rPr>
        <w:t>用户</w:t>
      </w:r>
      <w:r>
        <w:t>认知上的负担并提高信息传递的效率</w:t>
      </w:r>
    </w:p>
    <w:p w14:paraId="137A192D">
      <w:pPr>
        <w:pStyle w:val="6"/>
      </w:pPr>
      <w:r>
        <w:rPr>
          <w:rFonts w:hint="eastAsia"/>
        </w:rPr>
        <w:t>输入输出说明</w:t>
      </w:r>
    </w:p>
    <w:p w14:paraId="621ED589">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10FE1FAC">
        <w:trPr>
          <w:tblHeader/>
          <w:jc w:val="center"/>
        </w:trPr>
        <w:tc>
          <w:tcPr>
            <w:tcW w:w="413" w:type="pct"/>
            <w:shd w:val="clear" w:color="auto" w:fill="E7E6E6" w:themeFill="background2"/>
          </w:tcPr>
          <w:p w14:paraId="782F48EE">
            <w:pPr>
              <w:jc w:val="center"/>
              <w:rPr>
                <w:b/>
              </w:rPr>
            </w:pPr>
            <w:r>
              <w:rPr>
                <w:rFonts w:hint="eastAsia"/>
                <w:b/>
              </w:rPr>
              <w:t>序号</w:t>
            </w:r>
          </w:p>
        </w:tc>
        <w:tc>
          <w:tcPr>
            <w:tcW w:w="1084" w:type="pct"/>
            <w:shd w:val="clear" w:color="auto" w:fill="E7E6E6" w:themeFill="background2"/>
          </w:tcPr>
          <w:p w14:paraId="173A25C2">
            <w:pPr>
              <w:jc w:val="center"/>
              <w:rPr>
                <w:b/>
              </w:rPr>
            </w:pPr>
            <w:r>
              <w:rPr>
                <w:rFonts w:hint="eastAsia"/>
                <w:b/>
              </w:rPr>
              <w:t>输入项</w:t>
            </w:r>
          </w:p>
        </w:tc>
        <w:tc>
          <w:tcPr>
            <w:tcW w:w="918" w:type="pct"/>
            <w:shd w:val="clear" w:color="auto" w:fill="E7E6E6" w:themeFill="background2"/>
          </w:tcPr>
          <w:p w14:paraId="0F7D9E4B">
            <w:pPr>
              <w:jc w:val="center"/>
              <w:rPr>
                <w:b/>
              </w:rPr>
            </w:pPr>
            <w:r>
              <w:rPr>
                <w:rFonts w:hint="eastAsia"/>
                <w:b/>
              </w:rPr>
              <w:t>取值范围</w:t>
            </w:r>
          </w:p>
        </w:tc>
        <w:tc>
          <w:tcPr>
            <w:tcW w:w="2086" w:type="pct"/>
            <w:shd w:val="clear" w:color="auto" w:fill="E7E6E6" w:themeFill="background2"/>
          </w:tcPr>
          <w:p w14:paraId="2D5F0BFD">
            <w:pPr>
              <w:jc w:val="center"/>
              <w:rPr>
                <w:b/>
              </w:rPr>
            </w:pPr>
            <w:r>
              <w:rPr>
                <w:rFonts w:hint="eastAsia"/>
                <w:b/>
              </w:rPr>
              <w:t>规则说明</w:t>
            </w:r>
          </w:p>
        </w:tc>
        <w:tc>
          <w:tcPr>
            <w:tcW w:w="497" w:type="pct"/>
            <w:shd w:val="clear" w:color="auto" w:fill="E7E6E6" w:themeFill="background2"/>
          </w:tcPr>
          <w:p w14:paraId="336814F1">
            <w:pPr>
              <w:jc w:val="center"/>
              <w:rPr>
                <w:b/>
              </w:rPr>
            </w:pPr>
            <w:r>
              <w:rPr>
                <w:rFonts w:hint="eastAsia"/>
                <w:b/>
              </w:rPr>
              <w:t>必输</w:t>
            </w:r>
          </w:p>
        </w:tc>
      </w:tr>
      <w:tr w14:paraId="6AF4582A">
        <w:trPr>
          <w:jc w:val="center"/>
        </w:trPr>
        <w:tc>
          <w:tcPr>
            <w:tcW w:w="413" w:type="pct"/>
          </w:tcPr>
          <w:p w14:paraId="6B6332D0">
            <w:pPr>
              <w:pStyle w:val="34"/>
              <w:numPr>
                <w:ilvl w:val="0"/>
                <w:numId w:val="5"/>
              </w:numPr>
              <w:ind w:firstLineChars="0"/>
            </w:pPr>
          </w:p>
        </w:tc>
        <w:tc>
          <w:tcPr>
            <w:tcW w:w="1084" w:type="pct"/>
          </w:tcPr>
          <w:p w14:paraId="1F3D7252">
            <w:r>
              <w:rPr>
                <w:rFonts w:hint="eastAsia"/>
              </w:rPr>
              <w:t>组合明细</w:t>
            </w:r>
          </w:p>
        </w:tc>
        <w:tc>
          <w:tcPr>
            <w:tcW w:w="918" w:type="pct"/>
          </w:tcPr>
          <w:p w14:paraId="1C47611C"/>
        </w:tc>
        <w:tc>
          <w:tcPr>
            <w:tcW w:w="2086" w:type="pct"/>
          </w:tcPr>
          <w:p w14:paraId="76CAF86F">
            <w:r>
              <w:rPr>
                <w:rFonts w:hint="eastAsia"/>
              </w:rPr>
              <w:t>投研系统通过调取中台数据获取不同账户下的组合明细</w:t>
            </w:r>
          </w:p>
        </w:tc>
        <w:tc>
          <w:tcPr>
            <w:tcW w:w="497" w:type="pct"/>
          </w:tcPr>
          <w:p w14:paraId="45286460">
            <w:pPr>
              <w:jc w:val="center"/>
            </w:pPr>
            <w:r>
              <w:rPr>
                <w:rFonts w:hint="eastAsia" w:ascii="宋体" w:hAnsi="宋体"/>
                <w:iCs/>
                <w:color w:val="0000FF"/>
              </w:rPr>
              <w:t>√</w:t>
            </w:r>
          </w:p>
        </w:tc>
      </w:tr>
    </w:tbl>
    <w:p w14:paraId="26E550F5"/>
    <w:p w14:paraId="0E6ED26E">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2"/>
        <w:gridCol w:w="2182"/>
        <w:gridCol w:w="1777"/>
        <w:gridCol w:w="4039"/>
      </w:tblGrid>
      <w:tr w14:paraId="3A35457E">
        <w:trPr>
          <w:tblHeader/>
          <w:jc w:val="center"/>
        </w:trPr>
        <w:tc>
          <w:tcPr>
            <w:tcW w:w="414" w:type="pct"/>
            <w:shd w:val="clear" w:color="auto" w:fill="E7E6E6" w:themeFill="background2"/>
          </w:tcPr>
          <w:p w14:paraId="220484F4">
            <w:pPr>
              <w:jc w:val="center"/>
              <w:rPr>
                <w:b/>
              </w:rPr>
            </w:pPr>
            <w:r>
              <w:rPr>
                <w:rFonts w:hint="eastAsia"/>
                <w:b/>
              </w:rPr>
              <w:t>序号</w:t>
            </w:r>
          </w:p>
        </w:tc>
        <w:tc>
          <w:tcPr>
            <w:tcW w:w="1251" w:type="pct"/>
            <w:shd w:val="clear" w:color="auto" w:fill="E7E6E6" w:themeFill="background2"/>
          </w:tcPr>
          <w:p w14:paraId="53710319">
            <w:pPr>
              <w:jc w:val="center"/>
              <w:rPr>
                <w:b/>
              </w:rPr>
            </w:pPr>
            <w:r>
              <w:rPr>
                <w:rFonts w:hint="eastAsia"/>
                <w:b/>
              </w:rPr>
              <w:t>输出项</w:t>
            </w:r>
          </w:p>
        </w:tc>
        <w:tc>
          <w:tcPr>
            <w:tcW w:w="1019" w:type="pct"/>
            <w:shd w:val="clear" w:color="auto" w:fill="E7E6E6" w:themeFill="background2"/>
          </w:tcPr>
          <w:p w14:paraId="78F47511">
            <w:pPr>
              <w:jc w:val="center"/>
              <w:rPr>
                <w:b/>
              </w:rPr>
            </w:pPr>
            <w:r>
              <w:rPr>
                <w:rFonts w:hint="eastAsia"/>
                <w:b/>
              </w:rPr>
              <w:t>取值范围</w:t>
            </w:r>
          </w:p>
        </w:tc>
        <w:tc>
          <w:tcPr>
            <w:tcW w:w="2316" w:type="pct"/>
            <w:shd w:val="clear" w:color="auto" w:fill="E7E6E6" w:themeFill="background2"/>
          </w:tcPr>
          <w:p w14:paraId="7DC77355">
            <w:pPr>
              <w:jc w:val="center"/>
              <w:rPr>
                <w:b/>
              </w:rPr>
            </w:pPr>
            <w:r>
              <w:rPr>
                <w:rFonts w:hint="eastAsia"/>
                <w:b/>
              </w:rPr>
              <w:t>规则说明</w:t>
            </w:r>
          </w:p>
        </w:tc>
      </w:tr>
      <w:tr w14:paraId="303930AA">
        <w:trPr>
          <w:jc w:val="center"/>
        </w:trPr>
        <w:tc>
          <w:tcPr>
            <w:tcW w:w="414" w:type="pct"/>
          </w:tcPr>
          <w:p w14:paraId="48A4ED69">
            <w:pPr>
              <w:pStyle w:val="34"/>
              <w:numPr>
                <w:ilvl w:val="0"/>
                <w:numId w:val="6"/>
              </w:numPr>
              <w:ind w:firstLineChars="0"/>
            </w:pPr>
          </w:p>
        </w:tc>
        <w:tc>
          <w:tcPr>
            <w:tcW w:w="1251" w:type="pct"/>
          </w:tcPr>
          <w:p w14:paraId="7C213403">
            <w:pPr>
              <w:rPr>
                <w:iCs/>
              </w:rPr>
            </w:pPr>
            <w:r>
              <w:rPr>
                <w:rFonts w:hint="eastAsia"/>
                <w:iCs/>
              </w:rPr>
              <w:t>组合基础指标</w:t>
            </w:r>
          </w:p>
        </w:tc>
        <w:tc>
          <w:tcPr>
            <w:tcW w:w="1019" w:type="pct"/>
          </w:tcPr>
          <w:p w14:paraId="17981937"/>
        </w:tc>
        <w:tc>
          <w:tcPr>
            <w:tcW w:w="2316" w:type="pct"/>
          </w:tcPr>
          <w:p w14:paraId="242BC94D"/>
        </w:tc>
      </w:tr>
      <w:tr w14:paraId="17582CF6">
        <w:trPr>
          <w:jc w:val="center"/>
        </w:trPr>
        <w:tc>
          <w:tcPr>
            <w:tcW w:w="414" w:type="pct"/>
          </w:tcPr>
          <w:p w14:paraId="31BB18E8">
            <w:pPr>
              <w:pStyle w:val="34"/>
              <w:numPr>
                <w:ilvl w:val="0"/>
                <w:numId w:val="6"/>
              </w:numPr>
              <w:ind w:firstLineChars="0"/>
            </w:pPr>
          </w:p>
        </w:tc>
        <w:tc>
          <w:tcPr>
            <w:tcW w:w="1251" w:type="pct"/>
          </w:tcPr>
          <w:p w14:paraId="40EE55CA">
            <w:r>
              <w:rPr>
                <w:rFonts w:hint="eastAsia"/>
              </w:rPr>
              <w:t>组合久期、DV01、杠杆</w:t>
            </w:r>
          </w:p>
        </w:tc>
        <w:tc>
          <w:tcPr>
            <w:tcW w:w="1019" w:type="pct"/>
          </w:tcPr>
          <w:p w14:paraId="101325D0"/>
        </w:tc>
        <w:tc>
          <w:tcPr>
            <w:tcW w:w="2316" w:type="pct"/>
          </w:tcPr>
          <w:p w14:paraId="0994D444"/>
        </w:tc>
      </w:tr>
      <w:tr w14:paraId="7E016DE0">
        <w:trPr>
          <w:jc w:val="center"/>
        </w:trPr>
        <w:tc>
          <w:tcPr>
            <w:tcW w:w="414" w:type="pct"/>
          </w:tcPr>
          <w:p w14:paraId="20DE1BF5">
            <w:pPr>
              <w:pStyle w:val="34"/>
              <w:numPr>
                <w:ilvl w:val="0"/>
                <w:numId w:val="6"/>
              </w:numPr>
              <w:ind w:firstLineChars="0"/>
            </w:pPr>
          </w:p>
        </w:tc>
        <w:tc>
          <w:tcPr>
            <w:tcW w:w="1251" w:type="pct"/>
          </w:tcPr>
          <w:p w14:paraId="1858D865">
            <w:r>
              <w:rPr>
                <w:rFonts w:hint="eastAsia"/>
              </w:rPr>
              <w:t>组合持仓及收益</w:t>
            </w:r>
          </w:p>
        </w:tc>
        <w:tc>
          <w:tcPr>
            <w:tcW w:w="1019" w:type="pct"/>
          </w:tcPr>
          <w:p w14:paraId="3F319DB5"/>
        </w:tc>
        <w:tc>
          <w:tcPr>
            <w:tcW w:w="2316" w:type="pct"/>
          </w:tcPr>
          <w:p w14:paraId="065AC2BA"/>
        </w:tc>
      </w:tr>
      <w:tr w14:paraId="61322657">
        <w:trPr>
          <w:trHeight w:val="24" w:hRule="atLeast"/>
          <w:jc w:val="center"/>
        </w:trPr>
        <w:tc>
          <w:tcPr>
            <w:tcW w:w="414" w:type="pct"/>
          </w:tcPr>
          <w:p w14:paraId="6795869D">
            <w:pPr>
              <w:pStyle w:val="34"/>
              <w:numPr>
                <w:ilvl w:val="0"/>
                <w:numId w:val="6"/>
              </w:numPr>
              <w:ind w:firstLineChars="0"/>
            </w:pPr>
          </w:p>
        </w:tc>
        <w:tc>
          <w:tcPr>
            <w:tcW w:w="1251" w:type="pct"/>
          </w:tcPr>
          <w:p w14:paraId="5DED9FA7">
            <w:r>
              <w:rPr>
                <w:rFonts w:hint="eastAsia"/>
              </w:rPr>
              <w:t>组合规模趋势</w:t>
            </w:r>
          </w:p>
        </w:tc>
        <w:tc>
          <w:tcPr>
            <w:tcW w:w="1019" w:type="pct"/>
          </w:tcPr>
          <w:p w14:paraId="09B830F6"/>
        </w:tc>
        <w:tc>
          <w:tcPr>
            <w:tcW w:w="2316" w:type="pct"/>
          </w:tcPr>
          <w:p w14:paraId="39D83DF5"/>
        </w:tc>
      </w:tr>
      <w:tr w14:paraId="59E991FE">
        <w:trPr>
          <w:jc w:val="center"/>
        </w:trPr>
        <w:tc>
          <w:tcPr>
            <w:tcW w:w="414" w:type="pct"/>
          </w:tcPr>
          <w:p w14:paraId="292FD7FE">
            <w:pPr>
              <w:pStyle w:val="34"/>
              <w:numPr>
                <w:ilvl w:val="0"/>
                <w:numId w:val="6"/>
              </w:numPr>
              <w:ind w:firstLineChars="0"/>
            </w:pPr>
          </w:p>
        </w:tc>
        <w:tc>
          <w:tcPr>
            <w:tcW w:w="1251" w:type="pct"/>
          </w:tcPr>
          <w:p w14:paraId="0B76666D">
            <w:r>
              <w:rPr>
                <w:rFonts w:hint="eastAsia"/>
              </w:rPr>
              <w:t>价格异动及风险预警</w:t>
            </w:r>
          </w:p>
        </w:tc>
        <w:tc>
          <w:tcPr>
            <w:tcW w:w="1019" w:type="pct"/>
          </w:tcPr>
          <w:p w14:paraId="42B445D4"/>
        </w:tc>
        <w:tc>
          <w:tcPr>
            <w:tcW w:w="2316" w:type="pct"/>
          </w:tcPr>
          <w:p w14:paraId="0599B127"/>
        </w:tc>
      </w:tr>
      <w:tr w14:paraId="14146A92">
        <w:trPr>
          <w:jc w:val="center"/>
        </w:trPr>
        <w:tc>
          <w:tcPr>
            <w:tcW w:w="414" w:type="pct"/>
          </w:tcPr>
          <w:p w14:paraId="518018C3">
            <w:pPr>
              <w:pStyle w:val="34"/>
              <w:numPr>
                <w:ilvl w:val="0"/>
                <w:numId w:val="6"/>
              </w:numPr>
              <w:ind w:firstLineChars="0"/>
            </w:pPr>
          </w:p>
        </w:tc>
        <w:tc>
          <w:tcPr>
            <w:tcW w:w="1251" w:type="pct"/>
          </w:tcPr>
          <w:p w14:paraId="47DBED9C">
            <w:r>
              <w:rPr>
                <w:rFonts w:hint="eastAsia"/>
              </w:rPr>
              <w:t>组合日历</w:t>
            </w:r>
          </w:p>
        </w:tc>
        <w:tc>
          <w:tcPr>
            <w:tcW w:w="1019" w:type="pct"/>
          </w:tcPr>
          <w:p w14:paraId="1F9D7CD9"/>
        </w:tc>
        <w:tc>
          <w:tcPr>
            <w:tcW w:w="2316" w:type="pct"/>
          </w:tcPr>
          <w:p w14:paraId="1C9BFB07"/>
        </w:tc>
      </w:tr>
    </w:tbl>
    <w:p w14:paraId="1C6E06EA">
      <w:pPr>
        <w:pStyle w:val="6"/>
      </w:pPr>
      <w:r>
        <w:rPr>
          <w:rFonts w:hint="eastAsia"/>
        </w:rPr>
        <w:t>业务凭证</w:t>
      </w:r>
    </w:p>
    <w:p w14:paraId="768BED37">
      <w:r>
        <w:rPr>
          <w:rFonts w:hint="eastAsia"/>
        </w:rPr>
        <w:t xml:space="preserve">  不涉及。</w:t>
      </w:r>
    </w:p>
    <w:p w14:paraId="3B870F26">
      <w:pPr>
        <w:pStyle w:val="5"/>
      </w:pPr>
      <w:r>
        <w:rPr>
          <w:rFonts w:hint="eastAsia"/>
        </w:rPr>
        <w:t>业务规则说明</w:t>
      </w:r>
    </w:p>
    <w:p w14:paraId="067CE430">
      <w:pPr>
        <w:pStyle w:val="6"/>
      </w:pPr>
      <w:r>
        <w:rPr>
          <w:rFonts w:hint="eastAsia"/>
        </w:rPr>
        <w:t>业务处理规则</w:t>
      </w:r>
    </w:p>
    <w:p w14:paraId="791C155E">
      <w:pPr>
        <w:pStyle w:val="44"/>
        <w:spacing w:before="120" w:after="120"/>
        <w:ind w:firstLine="480"/>
      </w:pPr>
      <w:r>
        <w:rPr>
          <w:rFonts w:hint="eastAsia"/>
        </w:rPr>
        <w:t>1.综合管理界面根据权限不同，筛选出对应能够查看的组合，重新计算并按照分类目录在页面上展示。</w:t>
      </w:r>
    </w:p>
    <w:p w14:paraId="7B7205F7">
      <w:pPr>
        <w:pStyle w:val="44"/>
        <w:spacing w:before="120" w:after="120"/>
        <w:ind w:firstLine="480"/>
      </w:pPr>
      <w:r>
        <w:rPr>
          <w:rFonts w:hint="eastAsia"/>
          <w:lang w:val="en-US" w:eastAsia="zh-CN"/>
        </w:rPr>
        <w:t>2</w:t>
      </w:r>
      <w:r>
        <w:rPr>
          <w:rFonts w:hint="eastAsia"/>
        </w:rPr>
        <w:t>.模块后端会按照组合计算出所有指标参数，根据用户的筛选项再进行分类汇总。</w:t>
      </w:r>
    </w:p>
    <w:p w14:paraId="436B8982">
      <w:pPr>
        <w:pStyle w:val="44"/>
        <w:spacing w:before="120" w:after="120"/>
        <w:ind w:firstLine="480"/>
      </w:pPr>
      <w:r>
        <w:rPr>
          <w:rFonts w:hint="eastAsia"/>
          <w:lang w:val="en-US" w:eastAsia="zh-CN"/>
        </w:rPr>
        <w:t>3</w:t>
      </w:r>
      <w:r>
        <w:rPr>
          <w:rFonts w:hint="eastAsia"/>
        </w:rPr>
        <w:t>.综合管理页面数据根据选定组合类型数量进行实时计算，系统可不保存实时计算的数据。</w:t>
      </w:r>
    </w:p>
    <w:p w14:paraId="23FAF329">
      <w:pPr>
        <w:pStyle w:val="44"/>
        <w:spacing w:before="120" w:after="120"/>
        <w:ind w:left="900" w:firstLine="0" w:firstLineChars="0"/>
      </w:pPr>
    </w:p>
    <w:p w14:paraId="0E745670">
      <w:pPr>
        <w:pStyle w:val="6"/>
      </w:pPr>
      <w:r>
        <w:rPr>
          <w:rFonts w:hint="eastAsia"/>
        </w:rPr>
        <w:t>授权复核场景与规则</w:t>
      </w:r>
    </w:p>
    <w:p w14:paraId="0389A9CE">
      <w:pPr>
        <w:ind w:firstLine="420"/>
      </w:pPr>
      <w:r>
        <w:rPr>
          <w:rFonts w:hint="eastAsia"/>
        </w:rPr>
        <w:t>不涉及。</w:t>
      </w:r>
    </w:p>
    <w:p w14:paraId="155C8F91">
      <w:pPr>
        <w:pStyle w:val="6"/>
      </w:pPr>
      <w:r>
        <w:rPr>
          <w:rFonts w:hint="eastAsia"/>
        </w:rPr>
        <w:t>收费场景与规则</w:t>
      </w:r>
    </w:p>
    <w:p w14:paraId="096EC9DC">
      <w:pPr>
        <w:ind w:firstLine="420"/>
      </w:pPr>
      <w:r>
        <w:rPr>
          <w:rFonts w:hint="eastAsia"/>
        </w:rPr>
        <w:t>不涉及。</w:t>
      </w:r>
    </w:p>
    <w:p w14:paraId="1CC08B10">
      <w:pPr>
        <w:pStyle w:val="6"/>
      </w:pPr>
      <w:r>
        <w:rPr>
          <w:rFonts w:hint="eastAsia"/>
        </w:rPr>
        <w:t>核算场景与规则</w:t>
      </w:r>
    </w:p>
    <w:p w14:paraId="79642086">
      <w:pPr>
        <w:ind w:firstLine="420"/>
      </w:pPr>
      <w:r>
        <w:rPr>
          <w:rFonts w:hint="eastAsia"/>
        </w:rPr>
        <w:t>不涉及。</w:t>
      </w:r>
    </w:p>
    <w:p w14:paraId="382FC228">
      <w:pPr>
        <w:pStyle w:val="5"/>
      </w:pPr>
      <w:r>
        <w:rPr>
          <w:rFonts w:hint="eastAsia"/>
        </w:rPr>
        <w:t>后续业务处理</w:t>
      </w:r>
    </w:p>
    <w:p w14:paraId="3BEF4EE8">
      <w:pPr>
        <w:ind w:firstLine="420" w:firstLineChars="200"/>
      </w:pPr>
      <w:r>
        <w:rPr>
          <w:rFonts w:hint="eastAsia"/>
        </w:rPr>
        <w:t>不涉及</w:t>
      </w:r>
    </w:p>
    <w:p w14:paraId="3B0F3BE2">
      <w:pPr>
        <w:pStyle w:val="5"/>
      </w:pPr>
      <w:r>
        <w:rPr>
          <w:rFonts w:hint="eastAsia"/>
        </w:rPr>
        <w:t>异常及备注处理</w:t>
      </w:r>
    </w:p>
    <w:p w14:paraId="34399FD2">
      <w:pPr>
        <w:pStyle w:val="44"/>
        <w:spacing w:before="120" w:after="120"/>
        <w:ind w:firstLine="480"/>
      </w:pPr>
      <w:r>
        <w:rPr>
          <w:rFonts w:hint="eastAsia"/>
        </w:rPr>
        <w:t>1.综合管理功能要求进行输入验证。在用户进行账簿树命名时，需要对输入的文本进行严格验证，确保文本格式正确，符合预期的字符类型。若为空或重复时，则</w:t>
      </w:r>
      <w:r>
        <w:t>需提示易于理解的信息和后续操作步骤，不要直接提示技术类的错误信息</w:t>
      </w:r>
      <w:r>
        <w:rPr>
          <w:rFonts w:hint="eastAsia"/>
        </w:rPr>
        <w:t>。</w:t>
      </w:r>
    </w:p>
    <w:p w14:paraId="4866B8A6">
      <w:pPr>
        <w:pStyle w:val="44"/>
        <w:spacing w:before="120" w:after="120"/>
        <w:ind w:firstLine="480"/>
      </w:pPr>
      <w:r>
        <w:rPr>
          <w:rFonts w:hint="eastAsia"/>
        </w:rPr>
        <w:t>2.</w:t>
      </w:r>
      <w:r>
        <w:t>应用</w:t>
      </w:r>
      <w:r>
        <w:rPr>
          <w:rFonts w:hint="eastAsia"/>
        </w:rPr>
        <w:t>调取数据</w:t>
      </w:r>
      <w:r>
        <w:t>出错时</w:t>
      </w:r>
      <w:r>
        <w:rPr>
          <w:rFonts w:hint="eastAsia"/>
        </w:rPr>
        <w:t>，需将异常信息记录到日志文件中，以便开发人员分析和调试。</w:t>
      </w:r>
    </w:p>
    <w:p w14:paraId="3CB89A4E">
      <w:pPr>
        <w:pStyle w:val="44"/>
        <w:spacing w:before="120" w:after="120"/>
        <w:ind w:firstLine="480"/>
      </w:pPr>
    </w:p>
    <w:p w14:paraId="38FEFF05">
      <w:pPr>
        <w:pStyle w:val="4"/>
      </w:pPr>
      <w:bookmarkStart w:id="41" w:name="_Toc184053075"/>
      <w:bookmarkStart w:id="42" w:name="_Toc31830"/>
      <w:r>
        <w:rPr>
          <w:rFonts w:hint="eastAsia"/>
        </w:rPr>
        <w:t>模拟组合管理</w:t>
      </w:r>
      <w:bookmarkEnd w:id="41"/>
      <w:bookmarkEnd w:id="42"/>
    </w:p>
    <w:p w14:paraId="1292D8E6">
      <w:pPr>
        <w:pStyle w:val="5"/>
      </w:pPr>
      <w:r>
        <w:rPr>
          <w:rFonts w:hint="eastAsia"/>
        </w:rPr>
        <w:t>功能描述</w:t>
      </w:r>
    </w:p>
    <w:p w14:paraId="4A71BB56">
      <w:pPr>
        <w:pStyle w:val="44"/>
        <w:spacing w:before="120" w:after="120"/>
        <w:ind w:firstLine="480"/>
      </w:pPr>
      <w:r>
        <w:rPr>
          <w:rFonts w:hint="eastAsia"/>
        </w:rPr>
        <w:t>模拟组合管理具有一系列优势和价值，它通过模拟真实的投资环境系统，使交易员能够在不承受实际经济损失的情况下，测试和评估不同投资策略的风险和回报。模拟组合允许交易员跟踪投资表现，分析投资组合的收益来源和潜在风险因素。系统</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支持</w:t>
      </w:r>
    </w:p>
    <w:p w14:paraId="3A56FB7A">
      <w:pPr>
        <w:pStyle w:val="44"/>
        <w:spacing w:before="120" w:after="120"/>
        <w:ind w:firstLine="480"/>
      </w:pPr>
      <w:r>
        <w:rPr>
          <w:rFonts w:hint="eastAsia"/>
        </w:rPr>
        <w:t>1)</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支持模拟交易手动录入和Excel批量上传。</w:t>
      </w:r>
    </w:p>
    <w:p w14:paraId="5A72F65E">
      <w:pPr>
        <w:pStyle w:val="44"/>
        <w:spacing w:before="120" w:after="120"/>
        <w:ind w:firstLine="480"/>
      </w:pPr>
      <w:r>
        <w:rPr>
          <w:rFonts w:hint="eastAsia"/>
        </w:rPr>
        <w:t>2)</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提供模拟组合指标的历史序列查询，包括绩效指标、特性指标及仓位指标的时间序列可视化展示</w:t>
      </w:r>
    </w:p>
    <w:p w14:paraId="5B02BCB0">
      <w:pPr>
        <w:pStyle w:val="44"/>
        <w:spacing w:before="120" w:after="120"/>
        <w:ind w:firstLine="480"/>
      </w:pPr>
      <w:r>
        <w:rPr>
          <w:rFonts w:hint="eastAsia"/>
        </w:rPr>
        <w:t>3)</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提供模拟组合的盈亏分析，包括票息收益、资本利得、交易盈亏、已实现及未实现盈亏等。</w:t>
      </w:r>
    </w:p>
    <w:p w14:paraId="4C0D517E">
      <w:pPr>
        <w:pStyle w:val="44"/>
        <w:spacing w:before="120" w:after="120"/>
        <w:ind w:firstLine="480"/>
      </w:pPr>
      <w:r>
        <w:rPr>
          <w:rFonts w:hint="eastAsia"/>
        </w:rPr>
        <w:t>4)</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提供模拟组合的绩效归因和风险分析，包括Campisi收益归因、关键期限点DV01、情景分析。</w:t>
      </w:r>
    </w:p>
    <w:p w14:paraId="3CE277D2">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09693492">
        <w:trPr>
          <w:tblHeader/>
          <w:jc w:val="center"/>
        </w:trPr>
        <w:tc>
          <w:tcPr>
            <w:tcW w:w="848" w:type="pct"/>
            <w:shd w:val="clear" w:color="auto" w:fill="E7E6E6" w:themeFill="background2"/>
          </w:tcPr>
          <w:p w14:paraId="450F3F6A">
            <w:pPr>
              <w:jc w:val="center"/>
              <w:rPr>
                <w:b/>
              </w:rPr>
            </w:pPr>
            <w:r>
              <w:rPr>
                <w:rFonts w:hint="eastAsia"/>
                <w:b/>
              </w:rPr>
              <w:t>类型</w:t>
            </w:r>
          </w:p>
        </w:tc>
        <w:tc>
          <w:tcPr>
            <w:tcW w:w="1653" w:type="pct"/>
            <w:shd w:val="clear" w:color="auto" w:fill="E7E6E6" w:themeFill="background2"/>
          </w:tcPr>
          <w:p w14:paraId="116519FB">
            <w:pPr>
              <w:jc w:val="center"/>
              <w:rPr>
                <w:b/>
              </w:rPr>
            </w:pPr>
            <w:r>
              <w:rPr>
                <w:rFonts w:hint="eastAsia"/>
                <w:b/>
              </w:rPr>
              <w:t>用户岗位描述</w:t>
            </w:r>
          </w:p>
        </w:tc>
        <w:tc>
          <w:tcPr>
            <w:tcW w:w="2498" w:type="pct"/>
            <w:shd w:val="clear" w:color="auto" w:fill="E7E6E6" w:themeFill="background2"/>
          </w:tcPr>
          <w:p w14:paraId="0D01C13E">
            <w:pPr>
              <w:jc w:val="center"/>
              <w:rPr>
                <w:b/>
              </w:rPr>
            </w:pPr>
            <w:r>
              <w:rPr>
                <w:rFonts w:hint="eastAsia"/>
                <w:b/>
              </w:rPr>
              <w:t>菜单归属或访问路径</w:t>
            </w:r>
          </w:p>
        </w:tc>
      </w:tr>
      <w:tr w14:paraId="050CC2AF">
        <w:trPr>
          <w:jc w:val="center"/>
        </w:trPr>
        <w:tc>
          <w:tcPr>
            <w:tcW w:w="848" w:type="pct"/>
          </w:tcPr>
          <w:p w14:paraId="0EC864EC">
            <w:r>
              <w:rPr>
                <w:rFonts w:hint="eastAsia"/>
              </w:rPr>
              <w:t>行内员工</w:t>
            </w:r>
          </w:p>
        </w:tc>
        <w:tc>
          <w:tcPr>
            <w:tcW w:w="1653" w:type="pct"/>
          </w:tcPr>
          <w:p w14:paraId="42AA1D1A"/>
        </w:tc>
        <w:tc>
          <w:tcPr>
            <w:tcW w:w="2498" w:type="pct"/>
          </w:tcPr>
          <w:p w14:paraId="4B0A1C2F"/>
        </w:tc>
      </w:tr>
    </w:tbl>
    <w:p w14:paraId="6EB54666">
      <w:pPr>
        <w:pStyle w:val="5"/>
      </w:pPr>
      <w:r>
        <w:rPr>
          <w:rFonts w:hint="eastAsia"/>
        </w:rPr>
        <w:t>操作步骤</w:t>
      </w:r>
    </w:p>
    <w:p w14:paraId="11E05D16">
      <w:r>
        <w:rPr>
          <w:rFonts w:hint="eastAsia"/>
          <w:sz w:val="24"/>
        </w:rPr>
        <w:t>系统需支持交易员可以做如下相关操作：</w:t>
      </w:r>
    </w:p>
    <w:p w14:paraId="5660A954">
      <w:pPr>
        <w:pStyle w:val="44"/>
        <w:numPr>
          <w:ilvl w:val="0"/>
          <w:numId w:val="7"/>
        </w:numPr>
        <w:spacing w:before="120" w:after="120"/>
        <w:ind w:firstLineChars="0"/>
      </w:pPr>
      <w:r>
        <w:rPr>
          <w:rFonts w:hint="eastAsia"/>
        </w:rPr>
        <w:t>用户通过模拟交易手动录入和Excel批量上传创建模拟组合</w:t>
      </w:r>
    </w:p>
    <w:p w14:paraId="3F55AC5D">
      <w:pPr>
        <w:pStyle w:val="44"/>
        <w:numPr>
          <w:ilvl w:val="0"/>
          <w:numId w:val="7"/>
        </w:numPr>
        <w:spacing w:before="120" w:after="120"/>
        <w:ind w:firstLineChars="0"/>
      </w:pPr>
      <w:r>
        <w:rPr>
          <w:rFonts w:hint="eastAsia"/>
        </w:rPr>
        <w:t>用户可以查询模拟组合的历史序列，包括绩效指标、特性指标及仓位指标的时间序列可视化展示</w:t>
      </w:r>
    </w:p>
    <w:p w14:paraId="12C456CC">
      <w:pPr>
        <w:pStyle w:val="44"/>
        <w:numPr>
          <w:ilvl w:val="0"/>
          <w:numId w:val="7"/>
        </w:numPr>
        <w:spacing w:before="120" w:after="120"/>
        <w:ind w:firstLineChars="0"/>
      </w:pPr>
      <w:r>
        <w:rPr>
          <w:rFonts w:hint="eastAsia"/>
        </w:rPr>
        <w:t>用户可以查询模拟组合的盈亏分析，包括票息收益、资本利得、交易盈亏、已实现及未实现盈亏等</w:t>
      </w:r>
    </w:p>
    <w:p w14:paraId="5DABC046">
      <w:pPr>
        <w:pStyle w:val="44"/>
        <w:numPr>
          <w:ilvl w:val="0"/>
          <w:numId w:val="7"/>
        </w:numPr>
        <w:spacing w:before="120" w:after="120"/>
        <w:ind w:firstLineChars="0"/>
      </w:pPr>
      <w:r>
        <w:rPr>
          <w:rFonts w:hint="eastAsia"/>
        </w:rPr>
        <w:t>用户可以查询模拟组合的绩效归因和风险分析，包括Campisi收益归因、关键期限点DV01、情景分析。</w:t>
      </w:r>
    </w:p>
    <w:p w14:paraId="526432B2">
      <w:pPr>
        <w:pStyle w:val="5"/>
      </w:pPr>
      <w:r>
        <w:rPr>
          <w:rFonts w:hint="eastAsia"/>
        </w:rPr>
        <w:t>用户界面</w:t>
      </w:r>
    </w:p>
    <w:p w14:paraId="3C4574E5">
      <w:pPr>
        <w:pStyle w:val="6"/>
      </w:pPr>
      <w:r>
        <w:rPr>
          <w:rFonts w:hint="eastAsia"/>
        </w:rPr>
        <w:t>界面示意图</w:t>
      </w:r>
    </w:p>
    <w:p w14:paraId="53F76359">
      <w:pPr>
        <w:pStyle w:val="44"/>
        <w:spacing w:before="120" w:after="120"/>
        <w:ind w:firstLine="480"/>
      </w:pPr>
      <w:r>
        <w:drawing>
          <wp:inline distT="0" distB="0" distL="0" distR="0">
            <wp:extent cx="5400040" cy="3020060"/>
            <wp:effectExtent l="0" t="0" r="0" b="8890"/>
            <wp:docPr id="156512969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9690" name="图片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0DE98103">
      <w:pPr>
        <w:pStyle w:val="44"/>
        <w:spacing w:before="120" w:after="120"/>
        <w:ind w:firstLine="482"/>
        <w:rPr>
          <w:b/>
        </w:rPr>
      </w:pPr>
      <w:r>
        <w:rPr>
          <w:rFonts w:hint="eastAsia"/>
          <w:b/>
        </w:rPr>
        <w:t>界面布局要求与说明：</w:t>
      </w:r>
    </w:p>
    <w:p w14:paraId="2D50E949">
      <w:pPr>
        <w:pStyle w:val="44"/>
        <w:spacing w:before="120" w:after="120"/>
        <w:ind w:firstLine="480"/>
      </w:pPr>
      <w:r>
        <w:rPr>
          <w:rFonts w:hint="eastAsia"/>
        </w:rPr>
        <w:t>提供界面支持用户交易手动录入和Excel批量上传创建模拟组合，录入后的模拟组合功能与实际组合保持一致。</w:t>
      </w:r>
    </w:p>
    <w:p w14:paraId="7FE84551">
      <w:pPr>
        <w:pStyle w:val="6"/>
      </w:pPr>
      <w:r>
        <w:rPr>
          <w:rFonts w:hint="eastAsia"/>
        </w:rPr>
        <w:t>输入输出说明</w:t>
      </w:r>
    </w:p>
    <w:p w14:paraId="7699EB56">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1B4AC3B4">
        <w:trPr>
          <w:tblHeader/>
          <w:jc w:val="center"/>
        </w:trPr>
        <w:tc>
          <w:tcPr>
            <w:tcW w:w="413" w:type="pct"/>
            <w:shd w:val="clear" w:color="auto" w:fill="E7E6E6" w:themeFill="background2"/>
          </w:tcPr>
          <w:p w14:paraId="4DA9DDAB">
            <w:pPr>
              <w:jc w:val="center"/>
              <w:rPr>
                <w:b/>
              </w:rPr>
            </w:pPr>
            <w:r>
              <w:rPr>
                <w:rFonts w:hint="eastAsia"/>
                <w:b/>
              </w:rPr>
              <w:t>序号</w:t>
            </w:r>
          </w:p>
        </w:tc>
        <w:tc>
          <w:tcPr>
            <w:tcW w:w="1084" w:type="pct"/>
            <w:shd w:val="clear" w:color="auto" w:fill="E7E6E6" w:themeFill="background2"/>
          </w:tcPr>
          <w:p w14:paraId="24C06D8B">
            <w:pPr>
              <w:jc w:val="center"/>
              <w:rPr>
                <w:b/>
              </w:rPr>
            </w:pPr>
            <w:r>
              <w:rPr>
                <w:rFonts w:hint="eastAsia"/>
                <w:b/>
              </w:rPr>
              <w:t>输入项</w:t>
            </w:r>
          </w:p>
        </w:tc>
        <w:tc>
          <w:tcPr>
            <w:tcW w:w="918" w:type="pct"/>
            <w:shd w:val="clear" w:color="auto" w:fill="E7E6E6" w:themeFill="background2"/>
          </w:tcPr>
          <w:p w14:paraId="7BDD3875">
            <w:pPr>
              <w:jc w:val="center"/>
              <w:rPr>
                <w:b/>
              </w:rPr>
            </w:pPr>
            <w:r>
              <w:rPr>
                <w:rFonts w:hint="eastAsia"/>
                <w:b/>
              </w:rPr>
              <w:t>取值范围</w:t>
            </w:r>
          </w:p>
        </w:tc>
        <w:tc>
          <w:tcPr>
            <w:tcW w:w="2086" w:type="pct"/>
            <w:shd w:val="clear" w:color="auto" w:fill="E7E6E6" w:themeFill="background2"/>
          </w:tcPr>
          <w:p w14:paraId="5AC9FD3F">
            <w:pPr>
              <w:jc w:val="center"/>
              <w:rPr>
                <w:b/>
              </w:rPr>
            </w:pPr>
            <w:r>
              <w:rPr>
                <w:rFonts w:hint="eastAsia"/>
                <w:b/>
              </w:rPr>
              <w:t>规则说明</w:t>
            </w:r>
          </w:p>
        </w:tc>
        <w:tc>
          <w:tcPr>
            <w:tcW w:w="497" w:type="pct"/>
            <w:shd w:val="clear" w:color="auto" w:fill="E7E6E6" w:themeFill="background2"/>
          </w:tcPr>
          <w:p w14:paraId="5D5A2062">
            <w:pPr>
              <w:jc w:val="center"/>
              <w:rPr>
                <w:b/>
              </w:rPr>
            </w:pPr>
            <w:r>
              <w:rPr>
                <w:rFonts w:hint="eastAsia"/>
                <w:b/>
              </w:rPr>
              <w:t>必输</w:t>
            </w:r>
          </w:p>
        </w:tc>
      </w:tr>
      <w:tr w14:paraId="30EC09AA">
        <w:trPr>
          <w:jc w:val="center"/>
        </w:trPr>
        <w:tc>
          <w:tcPr>
            <w:tcW w:w="413" w:type="pct"/>
          </w:tcPr>
          <w:p w14:paraId="03C7940A">
            <w:pPr>
              <w:pStyle w:val="34"/>
              <w:numPr>
                <w:ilvl w:val="0"/>
                <w:numId w:val="8"/>
              </w:numPr>
              <w:ind w:firstLineChars="0"/>
            </w:pPr>
          </w:p>
        </w:tc>
        <w:tc>
          <w:tcPr>
            <w:tcW w:w="1084" w:type="pct"/>
          </w:tcPr>
          <w:p w14:paraId="64E6A015">
            <w:r>
              <w:rPr>
                <w:rFonts w:hint="eastAsia"/>
              </w:rPr>
              <w:t>模拟组合详情</w:t>
            </w:r>
          </w:p>
        </w:tc>
        <w:tc>
          <w:tcPr>
            <w:tcW w:w="918" w:type="pct"/>
          </w:tcPr>
          <w:p w14:paraId="59CBFD07"/>
        </w:tc>
        <w:tc>
          <w:tcPr>
            <w:tcW w:w="2086" w:type="pct"/>
          </w:tcPr>
          <w:p w14:paraId="0769A2B4">
            <w:r>
              <w:rPr>
                <w:rFonts w:hint="eastAsia"/>
              </w:rPr>
              <w:t>提供手动录入和Excel批量上传两种形式</w:t>
            </w:r>
          </w:p>
        </w:tc>
        <w:tc>
          <w:tcPr>
            <w:tcW w:w="497" w:type="pct"/>
          </w:tcPr>
          <w:p w14:paraId="5E0B086F">
            <w:r>
              <w:rPr>
                <w:rFonts w:hint="eastAsia" w:ascii="宋体" w:hAnsi="宋体"/>
              </w:rPr>
              <w:t>√</w:t>
            </w:r>
          </w:p>
        </w:tc>
      </w:tr>
    </w:tbl>
    <w:p w14:paraId="39FE7FC2"/>
    <w:p w14:paraId="79AE5D3A">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2"/>
        <w:gridCol w:w="1776"/>
        <w:gridCol w:w="4041"/>
      </w:tblGrid>
      <w:tr w14:paraId="3E7EBAEB">
        <w:trPr>
          <w:tblHeader/>
          <w:jc w:val="center"/>
        </w:trPr>
        <w:tc>
          <w:tcPr>
            <w:tcW w:w="413" w:type="pct"/>
            <w:shd w:val="clear" w:color="auto" w:fill="E7E6E6" w:themeFill="background2"/>
          </w:tcPr>
          <w:p w14:paraId="76472A60">
            <w:pPr>
              <w:jc w:val="center"/>
              <w:rPr>
                <w:b/>
              </w:rPr>
            </w:pPr>
            <w:r>
              <w:rPr>
                <w:rFonts w:hint="eastAsia"/>
                <w:b/>
              </w:rPr>
              <w:t>序号</w:t>
            </w:r>
          </w:p>
        </w:tc>
        <w:tc>
          <w:tcPr>
            <w:tcW w:w="1251" w:type="pct"/>
            <w:shd w:val="clear" w:color="auto" w:fill="E7E6E6" w:themeFill="background2"/>
          </w:tcPr>
          <w:p w14:paraId="5D802F7D">
            <w:pPr>
              <w:jc w:val="center"/>
              <w:rPr>
                <w:b/>
              </w:rPr>
            </w:pPr>
            <w:r>
              <w:rPr>
                <w:rFonts w:hint="eastAsia"/>
                <w:b/>
              </w:rPr>
              <w:t>输出项</w:t>
            </w:r>
          </w:p>
        </w:tc>
        <w:tc>
          <w:tcPr>
            <w:tcW w:w="1018" w:type="pct"/>
            <w:shd w:val="clear" w:color="auto" w:fill="E7E6E6" w:themeFill="background2"/>
          </w:tcPr>
          <w:p w14:paraId="55974D9D">
            <w:pPr>
              <w:jc w:val="center"/>
              <w:rPr>
                <w:b/>
              </w:rPr>
            </w:pPr>
            <w:r>
              <w:rPr>
                <w:rFonts w:hint="eastAsia"/>
                <w:b/>
              </w:rPr>
              <w:t>取值范围</w:t>
            </w:r>
          </w:p>
        </w:tc>
        <w:tc>
          <w:tcPr>
            <w:tcW w:w="2316" w:type="pct"/>
            <w:shd w:val="clear" w:color="auto" w:fill="E7E6E6" w:themeFill="background2"/>
          </w:tcPr>
          <w:p w14:paraId="692F75DE">
            <w:pPr>
              <w:jc w:val="center"/>
              <w:rPr>
                <w:b/>
              </w:rPr>
            </w:pPr>
            <w:r>
              <w:rPr>
                <w:rFonts w:hint="eastAsia"/>
                <w:b/>
              </w:rPr>
              <w:t>规则说明</w:t>
            </w:r>
          </w:p>
        </w:tc>
      </w:tr>
      <w:tr w14:paraId="79D8A631">
        <w:trPr>
          <w:jc w:val="center"/>
        </w:trPr>
        <w:tc>
          <w:tcPr>
            <w:tcW w:w="413" w:type="pct"/>
          </w:tcPr>
          <w:p w14:paraId="12598367">
            <w:pPr>
              <w:pStyle w:val="34"/>
              <w:numPr>
                <w:ilvl w:val="0"/>
                <w:numId w:val="9"/>
              </w:numPr>
              <w:ind w:firstLineChars="0"/>
            </w:pPr>
          </w:p>
        </w:tc>
        <w:tc>
          <w:tcPr>
            <w:tcW w:w="1251" w:type="pct"/>
          </w:tcPr>
          <w:p w14:paraId="0311EEED">
            <w:pPr>
              <w:rPr>
                <w:iCs/>
              </w:rPr>
            </w:pPr>
            <w:r>
              <w:rPr>
                <w:rFonts w:hint="eastAsia"/>
                <w:iCs/>
              </w:rPr>
              <w:t>模拟组合</w:t>
            </w:r>
          </w:p>
        </w:tc>
        <w:tc>
          <w:tcPr>
            <w:tcW w:w="1018" w:type="pct"/>
          </w:tcPr>
          <w:p w14:paraId="795AEA2D"/>
        </w:tc>
        <w:tc>
          <w:tcPr>
            <w:tcW w:w="2316" w:type="pct"/>
          </w:tcPr>
          <w:p w14:paraId="54BE5FA7">
            <w:r>
              <w:rPr>
                <w:rFonts w:hint="eastAsia"/>
              </w:rPr>
              <w:t>模拟组合与实际组合一致，拥有和实际组合一样的功能内容</w:t>
            </w:r>
          </w:p>
        </w:tc>
      </w:tr>
    </w:tbl>
    <w:p w14:paraId="6B882691">
      <w:pPr>
        <w:pStyle w:val="6"/>
      </w:pPr>
      <w:r>
        <w:rPr>
          <w:rFonts w:hint="eastAsia"/>
        </w:rPr>
        <w:t>业务凭证</w:t>
      </w:r>
    </w:p>
    <w:p w14:paraId="43109205">
      <w:r>
        <w:rPr>
          <w:rFonts w:hint="eastAsia"/>
        </w:rPr>
        <w:t xml:space="preserve">  不涉及。</w:t>
      </w:r>
    </w:p>
    <w:p w14:paraId="331A5F86">
      <w:pPr>
        <w:pStyle w:val="5"/>
      </w:pPr>
      <w:r>
        <w:rPr>
          <w:rFonts w:hint="eastAsia"/>
        </w:rPr>
        <w:t>业务规则说明</w:t>
      </w:r>
    </w:p>
    <w:p w14:paraId="72CCEC92">
      <w:pPr>
        <w:pStyle w:val="6"/>
      </w:pPr>
      <w:r>
        <w:rPr>
          <w:rFonts w:hint="eastAsia"/>
        </w:rPr>
        <w:t>业务处理规则</w:t>
      </w:r>
    </w:p>
    <w:p w14:paraId="0CDCAD94">
      <w:pPr>
        <w:pStyle w:val="44"/>
        <w:numPr>
          <w:ilvl w:val="0"/>
          <w:numId w:val="10"/>
        </w:numPr>
        <w:spacing w:before="120" w:after="120"/>
        <w:ind w:firstLineChars="0"/>
      </w:pPr>
      <w:r>
        <w:rPr>
          <w:rFonts w:hint="eastAsia"/>
        </w:rPr>
        <w:t>当用户根据EXCEL模板上传模拟组合，系统内置一系列及规则验证，满足上传组合的正确性。</w:t>
      </w:r>
    </w:p>
    <w:p w14:paraId="6BD81A20">
      <w:pPr>
        <w:pStyle w:val="6"/>
      </w:pPr>
      <w:r>
        <w:rPr>
          <w:rFonts w:hint="eastAsia"/>
        </w:rPr>
        <w:t>授权复核场景与规则</w:t>
      </w:r>
    </w:p>
    <w:p w14:paraId="19270A29">
      <w:pPr>
        <w:ind w:firstLine="420"/>
      </w:pPr>
      <w:r>
        <w:rPr>
          <w:rFonts w:hint="eastAsia"/>
        </w:rPr>
        <w:t>不涉及。</w:t>
      </w:r>
    </w:p>
    <w:p w14:paraId="3FD40DD7">
      <w:pPr>
        <w:pStyle w:val="6"/>
      </w:pPr>
      <w:r>
        <w:rPr>
          <w:rFonts w:hint="eastAsia"/>
        </w:rPr>
        <w:t>收费场景与规则</w:t>
      </w:r>
    </w:p>
    <w:p w14:paraId="628B52A1">
      <w:pPr>
        <w:ind w:firstLine="420"/>
      </w:pPr>
      <w:r>
        <w:rPr>
          <w:rFonts w:hint="eastAsia"/>
        </w:rPr>
        <w:t>不涉及。</w:t>
      </w:r>
    </w:p>
    <w:p w14:paraId="334468C5">
      <w:pPr>
        <w:pStyle w:val="6"/>
      </w:pPr>
      <w:r>
        <w:rPr>
          <w:rFonts w:hint="eastAsia"/>
        </w:rPr>
        <w:t>核算场景与规则</w:t>
      </w:r>
    </w:p>
    <w:p w14:paraId="25B368E2">
      <w:pPr>
        <w:ind w:firstLine="420"/>
      </w:pPr>
      <w:r>
        <w:rPr>
          <w:rFonts w:hint="eastAsia"/>
        </w:rPr>
        <w:t>不涉及。</w:t>
      </w:r>
    </w:p>
    <w:p w14:paraId="4A84BDC8">
      <w:pPr>
        <w:pStyle w:val="5"/>
      </w:pPr>
      <w:r>
        <w:rPr>
          <w:rFonts w:hint="eastAsia"/>
        </w:rPr>
        <w:t>后续业务处理</w:t>
      </w:r>
    </w:p>
    <w:p w14:paraId="649745FE">
      <w:pPr>
        <w:pStyle w:val="44"/>
        <w:numPr>
          <w:ilvl w:val="0"/>
          <w:numId w:val="11"/>
        </w:numPr>
        <w:spacing w:before="120" w:after="120"/>
        <w:ind w:firstLineChars="0"/>
      </w:pPr>
      <w:r>
        <w:rPr>
          <w:rFonts w:hint="eastAsia"/>
        </w:rPr>
        <w:t>模拟组合会保存至数据库，在组合总结、持仓分析、时间序列分析、组合评价及业绩归因、风险管理与分析模块调用。</w:t>
      </w:r>
    </w:p>
    <w:p w14:paraId="58E3B62D">
      <w:pPr>
        <w:pStyle w:val="5"/>
      </w:pPr>
      <w:r>
        <w:rPr>
          <w:rFonts w:hint="eastAsia"/>
        </w:rPr>
        <w:t>异常及备注处理</w:t>
      </w:r>
    </w:p>
    <w:p w14:paraId="384CA846">
      <w:pPr>
        <w:pStyle w:val="44"/>
        <w:numPr>
          <w:ilvl w:val="0"/>
          <w:numId w:val="12"/>
        </w:numPr>
        <w:spacing w:before="120" w:after="120"/>
        <w:ind w:firstLineChars="0"/>
      </w:pPr>
      <w:r>
        <w:rPr>
          <w:rFonts w:hint="eastAsia"/>
        </w:rPr>
        <w:t>模拟组合功能要求进行输入验证。在用户进行交易录入时，需要对输入的文本及数据进行严格验证，确保数据格式正确，符合预期的数据类型和范围。若成交数量为空或负数时，则需提示易于理解的信息和后续操作步骤，不要直接提示技术类的错误信息。</w:t>
      </w:r>
    </w:p>
    <w:p w14:paraId="624B0A3D">
      <w:pPr>
        <w:pStyle w:val="44"/>
        <w:numPr>
          <w:ilvl w:val="0"/>
          <w:numId w:val="12"/>
        </w:numPr>
        <w:spacing w:before="120" w:after="120"/>
        <w:ind w:firstLineChars="0"/>
      </w:pPr>
      <w:r>
        <w:rPr>
          <w:rFonts w:hint="eastAsia"/>
        </w:rPr>
        <w:t>应用调取数据出错时，需将异常信息记录到日志文件中，以便开发人员分析和调试。</w:t>
      </w:r>
    </w:p>
    <w:p w14:paraId="13527437"/>
    <w:p w14:paraId="5DB29900">
      <w:pPr>
        <w:pStyle w:val="4"/>
      </w:pPr>
      <w:bookmarkStart w:id="43" w:name="_Toc3319"/>
      <w:bookmarkStart w:id="44" w:name="_Toc184053076"/>
      <w:r>
        <w:rPr>
          <w:rFonts w:hint="eastAsia"/>
        </w:rPr>
        <w:t>组合合并/拆分</w:t>
      </w:r>
      <w:bookmarkEnd w:id="43"/>
      <w:bookmarkEnd w:id="44"/>
    </w:p>
    <w:p w14:paraId="55DA674E">
      <w:pPr>
        <w:pStyle w:val="5"/>
      </w:pPr>
      <w:r>
        <w:rPr>
          <w:rFonts w:hint="eastAsia"/>
        </w:rPr>
        <w:t>功能描述</w:t>
      </w:r>
    </w:p>
    <w:p w14:paraId="4B007DC3">
      <w:pPr>
        <w:pStyle w:val="44"/>
        <w:spacing w:before="120" w:after="120"/>
        <w:ind w:firstLine="480" w:firstLineChars="0"/>
      </w:pPr>
      <w:r>
        <w:rPr>
          <w:rFonts w:hint="eastAsia"/>
        </w:rPr>
        <w:t>系统需要提供组合拆分功能：支持从</w:t>
      </w:r>
      <w:r>
        <w:rPr>
          <w:rFonts w:hint="eastAsia"/>
          <w:lang w:eastAsia="zh-CN"/>
        </w:rPr>
        <w:t>“</w:t>
      </w:r>
      <w:r>
        <w:rPr>
          <w:rFonts w:hint="eastAsia"/>
          <w:highlight w:val="yellow"/>
        </w:rPr>
        <w:t>债券类型、行业、是否含权、是否次级</w:t>
      </w:r>
      <w:r>
        <w:rPr>
          <w:rFonts w:hint="eastAsia"/>
          <w:highlight w:val="yellow"/>
          <w:lang w:eastAsia="zh-CN"/>
        </w:rPr>
        <w:t>”</w:t>
      </w:r>
      <w:r>
        <w:rPr>
          <w:rFonts w:hint="eastAsia"/>
        </w:rPr>
        <w:t>等多维度标签对组合进行资产拆分并支持将拆分后的资产快速构建为新的组合。</w:t>
      </w:r>
    </w:p>
    <w:p w14:paraId="6624D9B2">
      <w:pPr>
        <w:pStyle w:val="44"/>
        <w:spacing w:before="120" w:after="120"/>
        <w:ind w:firstLine="480"/>
      </w:pPr>
      <w:r>
        <w:rPr>
          <w:rFonts w:hint="eastAsia"/>
        </w:rPr>
        <w:t>系统需提供组合合并功能：支持从债券类型、行业、是否含权、是否次级、交易编号等多维度标签对多个组合进行资产合并支持将合并后的资产快速构建为新的组合。</w:t>
      </w:r>
    </w:p>
    <w:p w14:paraId="5A2CDEC2">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7E76085D">
        <w:trPr>
          <w:tblHeader/>
          <w:jc w:val="center"/>
        </w:trPr>
        <w:tc>
          <w:tcPr>
            <w:tcW w:w="848" w:type="pct"/>
            <w:shd w:val="clear" w:color="auto" w:fill="E7E6E6" w:themeFill="background2"/>
          </w:tcPr>
          <w:p w14:paraId="14BB30FF">
            <w:pPr>
              <w:jc w:val="center"/>
              <w:rPr>
                <w:b/>
              </w:rPr>
            </w:pPr>
            <w:r>
              <w:rPr>
                <w:rFonts w:hint="eastAsia"/>
                <w:b/>
              </w:rPr>
              <w:t>类型</w:t>
            </w:r>
          </w:p>
        </w:tc>
        <w:tc>
          <w:tcPr>
            <w:tcW w:w="1653" w:type="pct"/>
            <w:shd w:val="clear" w:color="auto" w:fill="E7E6E6" w:themeFill="background2"/>
          </w:tcPr>
          <w:p w14:paraId="24435800">
            <w:pPr>
              <w:jc w:val="center"/>
              <w:rPr>
                <w:b/>
              </w:rPr>
            </w:pPr>
            <w:r>
              <w:rPr>
                <w:rFonts w:hint="eastAsia"/>
                <w:b/>
              </w:rPr>
              <w:t>用户岗位描述</w:t>
            </w:r>
          </w:p>
        </w:tc>
        <w:tc>
          <w:tcPr>
            <w:tcW w:w="2499" w:type="pct"/>
            <w:shd w:val="clear" w:color="auto" w:fill="E7E6E6" w:themeFill="background2"/>
          </w:tcPr>
          <w:p w14:paraId="7FD9BCA0">
            <w:pPr>
              <w:jc w:val="center"/>
              <w:rPr>
                <w:b/>
              </w:rPr>
            </w:pPr>
            <w:r>
              <w:rPr>
                <w:rFonts w:hint="eastAsia"/>
                <w:b/>
              </w:rPr>
              <w:t>菜单归属或访问路径</w:t>
            </w:r>
          </w:p>
        </w:tc>
      </w:tr>
      <w:tr w14:paraId="1918FAD8">
        <w:trPr>
          <w:jc w:val="center"/>
        </w:trPr>
        <w:tc>
          <w:tcPr>
            <w:tcW w:w="848" w:type="pct"/>
          </w:tcPr>
          <w:p w14:paraId="4FF8A34B">
            <w:r>
              <w:rPr>
                <w:rFonts w:hint="eastAsia"/>
              </w:rPr>
              <w:t>行内员工</w:t>
            </w:r>
          </w:p>
        </w:tc>
        <w:tc>
          <w:tcPr>
            <w:tcW w:w="1653" w:type="pct"/>
          </w:tcPr>
          <w:p w14:paraId="13312DA0"/>
        </w:tc>
        <w:tc>
          <w:tcPr>
            <w:tcW w:w="2499" w:type="pct"/>
          </w:tcPr>
          <w:p w14:paraId="6DA1189C"/>
        </w:tc>
      </w:tr>
      <w:tr w14:paraId="0360C337">
        <w:trPr>
          <w:jc w:val="center"/>
        </w:trPr>
        <w:tc>
          <w:tcPr>
            <w:tcW w:w="848" w:type="pct"/>
          </w:tcPr>
          <w:p w14:paraId="265D147A"/>
        </w:tc>
        <w:tc>
          <w:tcPr>
            <w:tcW w:w="1653" w:type="pct"/>
          </w:tcPr>
          <w:p w14:paraId="14103B50"/>
        </w:tc>
        <w:tc>
          <w:tcPr>
            <w:tcW w:w="2499" w:type="pct"/>
          </w:tcPr>
          <w:p w14:paraId="6EB8FB5F"/>
        </w:tc>
      </w:tr>
    </w:tbl>
    <w:p w14:paraId="068C5507">
      <w:pPr>
        <w:pStyle w:val="5"/>
      </w:pPr>
      <w:r>
        <w:rPr>
          <w:rFonts w:hint="eastAsia"/>
        </w:rPr>
        <w:t>操作步骤</w:t>
      </w:r>
    </w:p>
    <w:p w14:paraId="4AF34279">
      <w:pPr>
        <w:rPr>
          <w:sz w:val="24"/>
        </w:rPr>
      </w:pPr>
      <w:r>
        <w:rPr>
          <w:rFonts w:hint="eastAsia"/>
          <w:sz w:val="24"/>
        </w:rPr>
        <w:t>系统需支持交易员可以做如下相关操作：</w:t>
      </w:r>
    </w:p>
    <w:p w14:paraId="55BA4E54">
      <w:pPr>
        <w:pStyle w:val="44"/>
        <w:numPr>
          <w:ilvl w:val="0"/>
          <w:numId w:val="13"/>
        </w:numPr>
        <w:spacing w:before="120" w:after="120"/>
        <w:ind w:firstLineChars="0"/>
      </w:pPr>
      <w:r>
        <w:rPr>
          <w:rFonts w:hint="eastAsia"/>
        </w:rPr>
        <w:t>新建组合时系统可以选择组合合并/拆分。</w:t>
      </w:r>
    </w:p>
    <w:p w14:paraId="78C97DBD">
      <w:pPr>
        <w:pStyle w:val="44"/>
        <w:numPr>
          <w:ilvl w:val="0"/>
          <w:numId w:val="13"/>
        </w:numPr>
        <w:spacing w:before="120" w:after="120"/>
        <w:ind w:firstLineChars="0"/>
      </w:pPr>
      <w:r>
        <w:rPr>
          <w:rFonts w:hint="eastAsia"/>
        </w:rPr>
        <w:t>选择需要拆分的组合名称，选择组合建仓日。</w:t>
      </w:r>
    </w:p>
    <w:p w14:paraId="67871CAE">
      <w:pPr>
        <w:pStyle w:val="44"/>
        <w:numPr>
          <w:ilvl w:val="0"/>
          <w:numId w:val="13"/>
        </w:numPr>
        <w:spacing w:before="120" w:after="120"/>
        <w:ind w:firstLineChars="0"/>
      </w:pPr>
      <w:r>
        <w:rPr>
          <w:rFonts w:hint="eastAsia"/>
        </w:rPr>
        <w:t>根据筛选条件选择需要拆分或者合并的组合条件。</w:t>
      </w:r>
    </w:p>
    <w:p w14:paraId="7561197E">
      <w:pPr>
        <w:pStyle w:val="44"/>
        <w:numPr>
          <w:ilvl w:val="0"/>
          <w:numId w:val="13"/>
        </w:numPr>
        <w:spacing w:before="120" w:after="120"/>
        <w:ind w:firstLineChars="0"/>
      </w:pPr>
      <w:r>
        <w:rPr>
          <w:rFonts w:hint="eastAsia"/>
        </w:rPr>
        <w:t>生成相应的投资组合，对组合进行模拟分析</w:t>
      </w:r>
    </w:p>
    <w:p w14:paraId="2FCD1019">
      <w:pPr>
        <w:pStyle w:val="5"/>
      </w:pPr>
      <w:r>
        <w:rPr>
          <w:rFonts w:hint="eastAsia"/>
        </w:rPr>
        <w:t>用户界面</w:t>
      </w:r>
    </w:p>
    <w:p w14:paraId="7F464ED7">
      <w:pPr>
        <w:pStyle w:val="6"/>
      </w:pPr>
      <w:r>
        <w:rPr>
          <w:rFonts w:hint="eastAsia"/>
        </w:rPr>
        <w:t>界面示意图</w:t>
      </w:r>
    </w:p>
    <w:p w14:paraId="36AEC771">
      <w:pPr>
        <w:pStyle w:val="44"/>
        <w:spacing w:before="120" w:after="120"/>
        <w:ind w:firstLine="480"/>
      </w:pPr>
      <w:r>
        <w:drawing>
          <wp:inline distT="0" distB="0" distL="0" distR="0">
            <wp:extent cx="5399405" cy="3114675"/>
            <wp:effectExtent l="0" t="0" r="0" b="9525"/>
            <wp:docPr id="8833989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8914" name="图片 15"/>
                    <pic:cNvPicPr>
                      <a:picLocks noChangeAspect="1" noChangeArrowheads="1"/>
                    </pic:cNvPicPr>
                  </pic:nvPicPr>
                  <pic:blipFill>
                    <a:blip r:embed="rId10" cstate="print">
                      <a:extLst>
                        <a:ext uri="{28A0092B-C50C-407E-A947-70E740481C1C}">
                          <a14:useLocalDpi xmlns:a14="http://schemas.microsoft.com/office/drawing/2010/main" val="0"/>
                        </a:ext>
                      </a:extLst>
                    </a:blip>
                    <a:srcRect t="10619" b="13158"/>
                    <a:stretch>
                      <a:fillRect/>
                    </a:stretch>
                  </pic:blipFill>
                  <pic:spPr>
                    <a:xfrm>
                      <a:off x="0" y="0"/>
                      <a:ext cx="5400040" cy="3115148"/>
                    </a:xfrm>
                    <a:prstGeom prst="rect">
                      <a:avLst/>
                    </a:prstGeom>
                    <a:noFill/>
                    <a:ln>
                      <a:noFill/>
                    </a:ln>
                  </pic:spPr>
                </pic:pic>
              </a:graphicData>
            </a:graphic>
          </wp:inline>
        </w:drawing>
      </w:r>
    </w:p>
    <w:p w14:paraId="62BD82D4">
      <w:pPr>
        <w:pStyle w:val="44"/>
        <w:spacing w:before="120" w:after="120"/>
        <w:ind w:firstLine="480"/>
        <w:jc w:val="center"/>
      </w:pPr>
      <w:r>
        <w:rPr>
          <w:rFonts w:hint="eastAsia"/>
        </w:rPr>
        <w:t>组合合并拆分</w:t>
      </w:r>
    </w:p>
    <w:p w14:paraId="6D170BDF">
      <w:pPr>
        <w:pStyle w:val="44"/>
        <w:spacing w:before="120" w:after="120"/>
        <w:ind w:firstLine="482"/>
        <w:rPr>
          <w:b/>
        </w:rPr>
      </w:pPr>
      <w:r>
        <w:rPr>
          <w:rFonts w:hint="eastAsia"/>
          <w:b/>
        </w:rPr>
        <w:t>界面布局要求与说明：</w:t>
      </w:r>
    </w:p>
    <w:p w14:paraId="6D389665">
      <w:pPr>
        <w:pStyle w:val="44"/>
        <w:spacing w:before="120" w:after="120"/>
        <w:ind w:firstLine="480"/>
        <w:rPr>
          <w:bCs/>
        </w:rPr>
      </w:pPr>
      <w:r>
        <w:rPr>
          <w:rFonts w:hint="eastAsia"/>
          <w:bCs/>
        </w:rPr>
        <w:t>提供交互的输入界面，包括：组合建仓日筛选、组合筛选、资产类型筛选、利率债类型筛选、信用债类型筛选、行业筛选、债券类型筛选。</w:t>
      </w:r>
    </w:p>
    <w:p w14:paraId="20C8A19A">
      <w:pPr>
        <w:pStyle w:val="44"/>
        <w:spacing w:before="120" w:after="120"/>
        <w:ind w:firstLine="480"/>
      </w:pPr>
    </w:p>
    <w:p w14:paraId="468B064B">
      <w:pPr>
        <w:pStyle w:val="6"/>
      </w:pPr>
      <w:r>
        <w:rPr>
          <w:rFonts w:hint="eastAsia"/>
        </w:rPr>
        <w:t>输入输出说明</w:t>
      </w:r>
    </w:p>
    <w:p w14:paraId="194D3A2F">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31E5FC63">
        <w:trPr>
          <w:tblHeader/>
          <w:jc w:val="center"/>
        </w:trPr>
        <w:tc>
          <w:tcPr>
            <w:tcW w:w="413" w:type="pct"/>
            <w:shd w:val="clear" w:color="auto" w:fill="E7E6E6" w:themeFill="background2"/>
          </w:tcPr>
          <w:p w14:paraId="12AED0F8">
            <w:pPr>
              <w:jc w:val="center"/>
              <w:rPr>
                <w:b/>
              </w:rPr>
            </w:pPr>
            <w:r>
              <w:rPr>
                <w:rFonts w:hint="eastAsia"/>
                <w:b/>
              </w:rPr>
              <w:t>序号</w:t>
            </w:r>
          </w:p>
        </w:tc>
        <w:tc>
          <w:tcPr>
            <w:tcW w:w="1084" w:type="pct"/>
            <w:shd w:val="clear" w:color="auto" w:fill="E7E6E6" w:themeFill="background2"/>
          </w:tcPr>
          <w:p w14:paraId="6F889D0D">
            <w:pPr>
              <w:jc w:val="center"/>
              <w:rPr>
                <w:b/>
              </w:rPr>
            </w:pPr>
            <w:r>
              <w:rPr>
                <w:rFonts w:hint="eastAsia"/>
                <w:b/>
              </w:rPr>
              <w:t>输入项</w:t>
            </w:r>
          </w:p>
        </w:tc>
        <w:tc>
          <w:tcPr>
            <w:tcW w:w="918" w:type="pct"/>
            <w:shd w:val="clear" w:color="auto" w:fill="E7E6E6" w:themeFill="background2"/>
          </w:tcPr>
          <w:p w14:paraId="356BC796">
            <w:pPr>
              <w:jc w:val="center"/>
              <w:rPr>
                <w:b/>
              </w:rPr>
            </w:pPr>
            <w:r>
              <w:rPr>
                <w:rFonts w:hint="eastAsia"/>
                <w:b/>
              </w:rPr>
              <w:t>取值范围</w:t>
            </w:r>
          </w:p>
        </w:tc>
        <w:tc>
          <w:tcPr>
            <w:tcW w:w="2086" w:type="pct"/>
            <w:shd w:val="clear" w:color="auto" w:fill="E7E6E6" w:themeFill="background2"/>
          </w:tcPr>
          <w:p w14:paraId="6D4869A2">
            <w:pPr>
              <w:jc w:val="center"/>
              <w:rPr>
                <w:b/>
              </w:rPr>
            </w:pPr>
            <w:r>
              <w:rPr>
                <w:rFonts w:hint="eastAsia"/>
                <w:b/>
              </w:rPr>
              <w:t>规则说明</w:t>
            </w:r>
          </w:p>
        </w:tc>
        <w:tc>
          <w:tcPr>
            <w:tcW w:w="497" w:type="pct"/>
            <w:shd w:val="clear" w:color="auto" w:fill="E7E6E6" w:themeFill="background2"/>
          </w:tcPr>
          <w:p w14:paraId="380EF031">
            <w:pPr>
              <w:jc w:val="center"/>
              <w:rPr>
                <w:b/>
              </w:rPr>
            </w:pPr>
            <w:r>
              <w:rPr>
                <w:rFonts w:hint="eastAsia"/>
                <w:b/>
              </w:rPr>
              <w:t>必输</w:t>
            </w:r>
          </w:p>
        </w:tc>
      </w:tr>
      <w:tr w14:paraId="1CC81BAF">
        <w:trPr>
          <w:jc w:val="center"/>
        </w:trPr>
        <w:tc>
          <w:tcPr>
            <w:tcW w:w="413" w:type="pct"/>
          </w:tcPr>
          <w:p w14:paraId="0ACAAE3A">
            <w:pPr>
              <w:pStyle w:val="34"/>
              <w:numPr>
                <w:ilvl w:val="0"/>
                <w:numId w:val="14"/>
              </w:numPr>
              <w:ind w:firstLineChars="0"/>
            </w:pPr>
          </w:p>
        </w:tc>
        <w:tc>
          <w:tcPr>
            <w:tcW w:w="1084" w:type="pct"/>
          </w:tcPr>
          <w:p w14:paraId="6D49FB0F">
            <w:r>
              <w:rPr>
                <w:rFonts w:hint="eastAsia"/>
              </w:rPr>
              <w:t>组合名称</w:t>
            </w:r>
          </w:p>
        </w:tc>
        <w:tc>
          <w:tcPr>
            <w:tcW w:w="918" w:type="pct"/>
          </w:tcPr>
          <w:p w14:paraId="4923E480"/>
        </w:tc>
        <w:tc>
          <w:tcPr>
            <w:tcW w:w="2086" w:type="pct"/>
          </w:tcPr>
          <w:p w14:paraId="363A4900">
            <w:r>
              <w:rPr>
                <w:rFonts w:hint="eastAsia"/>
              </w:rPr>
              <w:t>通过筛选栏控制用户输入</w:t>
            </w:r>
          </w:p>
        </w:tc>
        <w:tc>
          <w:tcPr>
            <w:tcW w:w="497" w:type="pct"/>
          </w:tcPr>
          <w:p w14:paraId="7BE83F1C">
            <w:r>
              <w:rPr>
                <w:rFonts w:hint="eastAsia" w:ascii="宋体" w:hAnsi="宋体"/>
                <w:iCs/>
              </w:rPr>
              <w:t>√</w:t>
            </w:r>
          </w:p>
        </w:tc>
      </w:tr>
      <w:tr w14:paraId="3FEEACA9">
        <w:trPr>
          <w:jc w:val="center"/>
        </w:trPr>
        <w:tc>
          <w:tcPr>
            <w:tcW w:w="413" w:type="pct"/>
          </w:tcPr>
          <w:p w14:paraId="7A831C26">
            <w:pPr>
              <w:pStyle w:val="34"/>
              <w:numPr>
                <w:ilvl w:val="0"/>
                <w:numId w:val="14"/>
              </w:numPr>
              <w:ind w:firstLineChars="0"/>
            </w:pPr>
          </w:p>
        </w:tc>
        <w:tc>
          <w:tcPr>
            <w:tcW w:w="1084" w:type="pct"/>
          </w:tcPr>
          <w:p w14:paraId="12164896">
            <w:pPr>
              <w:rPr>
                <w:iCs/>
              </w:rPr>
            </w:pPr>
            <w:r>
              <w:rPr>
                <w:rFonts w:hint="eastAsia"/>
                <w:iCs/>
              </w:rPr>
              <w:t>组合树筛选</w:t>
            </w:r>
          </w:p>
        </w:tc>
        <w:tc>
          <w:tcPr>
            <w:tcW w:w="918" w:type="pct"/>
          </w:tcPr>
          <w:p w14:paraId="2342D012">
            <w:pPr>
              <w:rPr>
                <w:i/>
                <w:color w:val="0000FF"/>
              </w:rPr>
            </w:pPr>
          </w:p>
        </w:tc>
        <w:tc>
          <w:tcPr>
            <w:tcW w:w="2086" w:type="pct"/>
          </w:tcPr>
          <w:p w14:paraId="1CAE4FBD">
            <w:pPr>
              <w:rPr>
                <w:i/>
                <w:color w:val="0000FF"/>
              </w:rPr>
            </w:pPr>
            <w:r>
              <w:rPr>
                <w:rFonts w:hint="eastAsia"/>
              </w:rPr>
              <w:t>通过筛选栏控制用户输入</w:t>
            </w:r>
          </w:p>
        </w:tc>
        <w:tc>
          <w:tcPr>
            <w:tcW w:w="497" w:type="pct"/>
          </w:tcPr>
          <w:p w14:paraId="30CE26C2">
            <w:pPr>
              <w:rPr>
                <w:i/>
                <w:color w:val="0000FF"/>
              </w:rPr>
            </w:pPr>
            <w:r>
              <w:rPr>
                <w:rFonts w:hint="eastAsia" w:ascii="宋体" w:hAnsi="宋体"/>
                <w:iCs/>
              </w:rPr>
              <w:t>√</w:t>
            </w:r>
          </w:p>
        </w:tc>
      </w:tr>
      <w:tr w14:paraId="07694887">
        <w:trPr>
          <w:jc w:val="center"/>
        </w:trPr>
        <w:tc>
          <w:tcPr>
            <w:tcW w:w="413" w:type="pct"/>
          </w:tcPr>
          <w:p w14:paraId="12A60ADC">
            <w:pPr>
              <w:pStyle w:val="34"/>
              <w:numPr>
                <w:ilvl w:val="0"/>
                <w:numId w:val="14"/>
              </w:numPr>
              <w:ind w:firstLineChars="0"/>
            </w:pPr>
          </w:p>
        </w:tc>
        <w:tc>
          <w:tcPr>
            <w:tcW w:w="1084" w:type="pct"/>
          </w:tcPr>
          <w:p w14:paraId="59E0C5A0">
            <w:pPr>
              <w:rPr>
                <w:iCs/>
              </w:rPr>
            </w:pPr>
            <w:r>
              <w:rPr>
                <w:rFonts w:hint="eastAsia"/>
                <w:iCs/>
              </w:rPr>
              <w:t>组合建仓日</w:t>
            </w:r>
          </w:p>
        </w:tc>
        <w:tc>
          <w:tcPr>
            <w:tcW w:w="918" w:type="pct"/>
          </w:tcPr>
          <w:p w14:paraId="75DD3A62">
            <w:pPr>
              <w:rPr>
                <w:i/>
                <w:color w:val="0000FF"/>
              </w:rPr>
            </w:pPr>
          </w:p>
        </w:tc>
        <w:tc>
          <w:tcPr>
            <w:tcW w:w="2086" w:type="pct"/>
          </w:tcPr>
          <w:p w14:paraId="09A042EA">
            <w:pPr>
              <w:rPr>
                <w:i/>
                <w:color w:val="0000FF"/>
              </w:rPr>
            </w:pPr>
            <w:r>
              <w:rPr>
                <w:rFonts w:hint="eastAsia"/>
              </w:rPr>
              <w:t>通过筛选栏控制用户输入</w:t>
            </w:r>
          </w:p>
        </w:tc>
        <w:tc>
          <w:tcPr>
            <w:tcW w:w="497" w:type="pct"/>
          </w:tcPr>
          <w:p w14:paraId="676F0115">
            <w:pPr>
              <w:rPr>
                <w:i/>
                <w:color w:val="0000FF"/>
              </w:rPr>
            </w:pPr>
            <w:r>
              <w:rPr>
                <w:rFonts w:hint="eastAsia" w:ascii="宋体" w:hAnsi="宋体"/>
                <w:iCs/>
              </w:rPr>
              <w:t>√</w:t>
            </w:r>
          </w:p>
        </w:tc>
      </w:tr>
      <w:tr w14:paraId="575ADFFA">
        <w:trPr>
          <w:jc w:val="center"/>
        </w:trPr>
        <w:tc>
          <w:tcPr>
            <w:tcW w:w="413" w:type="pct"/>
          </w:tcPr>
          <w:p w14:paraId="11A3D581">
            <w:pPr>
              <w:pStyle w:val="34"/>
              <w:numPr>
                <w:ilvl w:val="0"/>
                <w:numId w:val="14"/>
              </w:numPr>
              <w:ind w:firstLineChars="0"/>
            </w:pPr>
          </w:p>
        </w:tc>
        <w:tc>
          <w:tcPr>
            <w:tcW w:w="1084" w:type="pct"/>
          </w:tcPr>
          <w:p w14:paraId="67344C06">
            <w:pPr>
              <w:rPr>
                <w:iCs/>
              </w:rPr>
            </w:pPr>
            <w:r>
              <w:rPr>
                <w:rFonts w:hint="eastAsia"/>
                <w:iCs/>
              </w:rPr>
              <w:t>债券筛选</w:t>
            </w:r>
          </w:p>
        </w:tc>
        <w:tc>
          <w:tcPr>
            <w:tcW w:w="918" w:type="pct"/>
          </w:tcPr>
          <w:p w14:paraId="36944F97">
            <w:pPr>
              <w:rPr>
                <w:i/>
                <w:color w:val="0000FF"/>
              </w:rPr>
            </w:pPr>
          </w:p>
        </w:tc>
        <w:tc>
          <w:tcPr>
            <w:tcW w:w="2086" w:type="pct"/>
          </w:tcPr>
          <w:p w14:paraId="2D4E2DB7">
            <w:pPr>
              <w:rPr>
                <w:i/>
                <w:color w:val="0000FF"/>
              </w:rPr>
            </w:pPr>
            <w:r>
              <w:rPr>
                <w:rFonts w:hint="eastAsia"/>
              </w:rPr>
              <w:t>通过筛选栏控制用户输入</w:t>
            </w:r>
          </w:p>
        </w:tc>
        <w:tc>
          <w:tcPr>
            <w:tcW w:w="497" w:type="pct"/>
          </w:tcPr>
          <w:p w14:paraId="00804551">
            <w:pPr>
              <w:rPr>
                <w:i/>
                <w:color w:val="0000FF"/>
              </w:rPr>
            </w:pPr>
            <w:r>
              <w:rPr>
                <w:rFonts w:hint="eastAsia" w:ascii="宋体" w:hAnsi="宋体"/>
                <w:iCs/>
              </w:rPr>
              <w:t>√</w:t>
            </w:r>
          </w:p>
        </w:tc>
      </w:tr>
    </w:tbl>
    <w:p w14:paraId="14C45396"/>
    <w:p w14:paraId="2D2DFF38">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2"/>
        <w:gridCol w:w="1776"/>
        <w:gridCol w:w="4041"/>
      </w:tblGrid>
      <w:tr w14:paraId="4CD9FEB2">
        <w:trPr>
          <w:tblHeader/>
          <w:jc w:val="center"/>
        </w:trPr>
        <w:tc>
          <w:tcPr>
            <w:tcW w:w="413" w:type="pct"/>
            <w:shd w:val="clear" w:color="auto" w:fill="E7E6E6" w:themeFill="background2"/>
          </w:tcPr>
          <w:p w14:paraId="0D85EBDC">
            <w:pPr>
              <w:jc w:val="center"/>
              <w:rPr>
                <w:b/>
              </w:rPr>
            </w:pPr>
            <w:r>
              <w:rPr>
                <w:rFonts w:hint="eastAsia"/>
                <w:b/>
              </w:rPr>
              <w:t>序号</w:t>
            </w:r>
          </w:p>
        </w:tc>
        <w:tc>
          <w:tcPr>
            <w:tcW w:w="1251" w:type="pct"/>
            <w:shd w:val="clear" w:color="auto" w:fill="E7E6E6" w:themeFill="background2"/>
          </w:tcPr>
          <w:p w14:paraId="55392ED0">
            <w:pPr>
              <w:jc w:val="center"/>
              <w:rPr>
                <w:b/>
              </w:rPr>
            </w:pPr>
            <w:r>
              <w:rPr>
                <w:rFonts w:hint="eastAsia"/>
                <w:b/>
              </w:rPr>
              <w:t>输出项</w:t>
            </w:r>
          </w:p>
        </w:tc>
        <w:tc>
          <w:tcPr>
            <w:tcW w:w="1018" w:type="pct"/>
            <w:shd w:val="clear" w:color="auto" w:fill="E7E6E6" w:themeFill="background2"/>
          </w:tcPr>
          <w:p w14:paraId="4414C9C4">
            <w:pPr>
              <w:jc w:val="center"/>
              <w:rPr>
                <w:b/>
              </w:rPr>
            </w:pPr>
            <w:r>
              <w:rPr>
                <w:rFonts w:hint="eastAsia"/>
                <w:b/>
              </w:rPr>
              <w:t>取值范围</w:t>
            </w:r>
          </w:p>
        </w:tc>
        <w:tc>
          <w:tcPr>
            <w:tcW w:w="2316" w:type="pct"/>
            <w:shd w:val="clear" w:color="auto" w:fill="E7E6E6" w:themeFill="background2"/>
          </w:tcPr>
          <w:p w14:paraId="674F2087">
            <w:pPr>
              <w:jc w:val="center"/>
              <w:rPr>
                <w:b/>
              </w:rPr>
            </w:pPr>
            <w:r>
              <w:rPr>
                <w:rFonts w:hint="eastAsia"/>
                <w:b/>
              </w:rPr>
              <w:t>规则说明</w:t>
            </w:r>
          </w:p>
        </w:tc>
      </w:tr>
      <w:tr w14:paraId="6CFF5267">
        <w:trPr>
          <w:jc w:val="center"/>
        </w:trPr>
        <w:tc>
          <w:tcPr>
            <w:tcW w:w="413" w:type="pct"/>
          </w:tcPr>
          <w:p w14:paraId="030F3543">
            <w:pPr>
              <w:pStyle w:val="34"/>
              <w:numPr>
                <w:ilvl w:val="0"/>
                <w:numId w:val="15"/>
              </w:numPr>
              <w:ind w:firstLineChars="0"/>
            </w:pPr>
          </w:p>
        </w:tc>
        <w:tc>
          <w:tcPr>
            <w:tcW w:w="1251" w:type="pct"/>
          </w:tcPr>
          <w:p w14:paraId="62207D6C">
            <w:pPr>
              <w:rPr>
                <w:iCs/>
              </w:rPr>
            </w:pPr>
            <w:r>
              <w:rPr>
                <w:rFonts w:hint="eastAsia"/>
                <w:iCs/>
              </w:rPr>
              <w:t>拆分/合并后的组合</w:t>
            </w:r>
          </w:p>
        </w:tc>
        <w:tc>
          <w:tcPr>
            <w:tcW w:w="1018" w:type="pct"/>
          </w:tcPr>
          <w:p w14:paraId="0B220CCC"/>
        </w:tc>
        <w:tc>
          <w:tcPr>
            <w:tcW w:w="2316" w:type="pct"/>
          </w:tcPr>
          <w:p w14:paraId="055B3F2E">
            <w:r>
              <w:rPr>
                <w:rFonts w:hint="eastAsia"/>
              </w:rPr>
              <w:t>以模拟组合的形式输入到组合列表中</w:t>
            </w:r>
          </w:p>
        </w:tc>
      </w:tr>
    </w:tbl>
    <w:p w14:paraId="12E18C73">
      <w:pPr>
        <w:pStyle w:val="6"/>
      </w:pPr>
      <w:r>
        <w:rPr>
          <w:rFonts w:hint="eastAsia"/>
        </w:rPr>
        <w:t>业务凭证</w:t>
      </w:r>
    </w:p>
    <w:p w14:paraId="739EF8A6">
      <w:r>
        <w:rPr>
          <w:rFonts w:hint="eastAsia"/>
        </w:rPr>
        <w:t xml:space="preserve">  不涉及。</w:t>
      </w:r>
    </w:p>
    <w:p w14:paraId="30128D1E">
      <w:pPr>
        <w:pStyle w:val="5"/>
      </w:pPr>
      <w:r>
        <w:rPr>
          <w:rFonts w:hint="eastAsia"/>
        </w:rPr>
        <w:t>业务规则说明</w:t>
      </w:r>
    </w:p>
    <w:p w14:paraId="302D5B66">
      <w:pPr>
        <w:pStyle w:val="6"/>
      </w:pPr>
      <w:r>
        <w:rPr>
          <w:rFonts w:hint="eastAsia"/>
        </w:rPr>
        <w:t>业务处理规则</w:t>
      </w:r>
    </w:p>
    <w:p w14:paraId="7A88E7EF">
      <w:pPr>
        <w:pStyle w:val="44"/>
        <w:spacing w:before="120" w:after="120"/>
        <w:ind w:firstLine="480"/>
      </w:pPr>
      <w:r>
        <w:rPr>
          <w:rFonts w:hint="eastAsia"/>
        </w:rPr>
        <w:t>1.仅可合并拆分权限内的组合，合并拆分后的组合保存在模拟组合的数据库中，与现有组合的数据库隔离。</w:t>
      </w:r>
    </w:p>
    <w:p w14:paraId="6C9914E5">
      <w:pPr>
        <w:pStyle w:val="6"/>
      </w:pPr>
      <w:r>
        <w:rPr>
          <w:rFonts w:hint="eastAsia"/>
        </w:rPr>
        <w:t>授权复核场景与规则</w:t>
      </w:r>
    </w:p>
    <w:p w14:paraId="6137EDA5">
      <w:pPr>
        <w:ind w:firstLine="420"/>
      </w:pPr>
      <w:r>
        <w:rPr>
          <w:rFonts w:hint="eastAsia"/>
        </w:rPr>
        <w:t>不涉及。</w:t>
      </w:r>
    </w:p>
    <w:p w14:paraId="76BE7159">
      <w:pPr>
        <w:pStyle w:val="6"/>
      </w:pPr>
      <w:r>
        <w:rPr>
          <w:rFonts w:hint="eastAsia"/>
        </w:rPr>
        <w:t>收费场景与规则</w:t>
      </w:r>
    </w:p>
    <w:p w14:paraId="7D0FFECE">
      <w:pPr>
        <w:ind w:firstLine="420"/>
      </w:pPr>
      <w:r>
        <w:rPr>
          <w:rFonts w:hint="eastAsia"/>
        </w:rPr>
        <w:t>不涉及。</w:t>
      </w:r>
    </w:p>
    <w:p w14:paraId="3ABA6F93">
      <w:pPr>
        <w:pStyle w:val="6"/>
      </w:pPr>
      <w:r>
        <w:rPr>
          <w:rFonts w:hint="eastAsia"/>
        </w:rPr>
        <w:t>核算场景与规则</w:t>
      </w:r>
    </w:p>
    <w:p w14:paraId="0CE2DA51">
      <w:pPr>
        <w:ind w:firstLine="420"/>
      </w:pPr>
      <w:r>
        <w:rPr>
          <w:rFonts w:hint="eastAsia"/>
        </w:rPr>
        <w:t>不涉及。</w:t>
      </w:r>
    </w:p>
    <w:p w14:paraId="571F9525">
      <w:pPr>
        <w:pStyle w:val="5"/>
      </w:pPr>
      <w:r>
        <w:rPr>
          <w:rFonts w:hint="eastAsia"/>
        </w:rPr>
        <w:t>后续业务处理</w:t>
      </w:r>
    </w:p>
    <w:p w14:paraId="3D4A6EA5">
      <w:pPr>
        <w:pStyle w:val="44"/>
        <w:spacing w:before="120" w:after="120"/>
        <w:ind w:firstLine="480"/>
      </w:pPr>
      <w:r>
        <w:rPr>
          <w:rFonts w:hint="eastAsia"/>
        </w:rPr>
        <w:t>合并拆分后的组合将进行重新计算，计算完成后可在模拟组合管理进行查看，包括和现有组合一致的持仓分析指标和组合特性指标</w:t>
      </w:r>
    </w:p>
    <w:p w14:paraId="19B314F0">
      <w:pPr>
        <w:pStyle w:val="5"/>
      </w:pPr>
      <w:r>
        <w:rPr>
          <w:rFonts w:hint="eastAsia"/>
        </w:rPr>
        <w:t>异常及备注处理</w:t>
      </w:r>
    </w:p>
    <w:p w14:paraId="2C413BFE">
      <w:pPr>
        <w:rPr>
          <w:sz w:val="24"/>
          <w:szCs w:val="28"/>
        </w:rPr>
      </w:pPr>
      <w:r>
        <w:rPr>
          <w:rFonts w:hint="eastAsia"/>
          <w:sz w:val="24"/>
          <w:szCs w:val="28"/>
        </w:rPr>
        <w:t>1.</w:t>
      </w:r>
      <w:r>
        <w:rPr>
          <w:rFonts w:hint="eastAsia"/>
          <w:sz w:val="24"/>
          <w:szCs w:val="28"/>
        </w:rPr>
        <w:tab/>
      </w:r>
      <w:r>
        <w:rPr>
          <w:rFonts w:hint="eastAsia"/>
          <w:sz w:val="24"/>
          <w:szCs w:val="28"/>
        </w:rPr>
        <w:t>组合拆分合并功能要求进行输入验证。在用户进行组合命名时，需要对输入的文本进行严格验证，确保文本格式正确，符合预期的字符类型。若为空或重复时，则需提示易于理解的信息和后续操作步骤，不要直接提示技术类的错误信息。</w:t>
      </w:r>
    </w:p>
    <w:p w14:paraId="7A93BC8C">
      <w:pPr>
        <w:rPr>
          <w:sz w:val="24"/>
          <w:szCs w:val="28"/>
        </w:rPr>
      </w:pPr>
      <w:r>
        <w:rPr>
          <w:rFonts w:hint="eastAsia"/>
          <w:sz w:val="24"/>
          <w:szCs w:val="28"/>
        </w:rPr>
        <w:t>2.</w:t>
      </w:r>
      <w:r>
        <w:rPr>
          <w:rFonts w:hint="eastAsia"/>
          <w:sz w:val="24"/>
          <w:szCs w:val="28"/>
        </w:rPr>
        <w:tab/>
      </w:r>
      <w:r>
        <w:rPr>
          <w:rFonts w:hint="eastAsia"/>
          <w:sz w:val="24"/>
          <w:szCs w:val="28"/>
        </w:rPr>
        <w:t>应用调取数据出错时，需将异常信息记录到日志文件中，以便开发人员分析和调试。</w:t>
      </w:r>
    </w:p>
    <w:p w14:paraId="1FF41712"/>
    <w:p w14:paraId="6DE6ED26">
      <w:pPr>
        <w:pStyle w:val="4"/>
      </w:pPr>
      <w:bookmarkStart w:id="45" w:name="_Toc31673"/>
      <w:bookmarkStart w:id="46" w:name="_Toc184053077"/>
      <w:r>
        <w:rPr>
          <w:rFonts w:hint="eastAsia"/>
        </w:rPr>
        <w:t>时间序列分析</w:t>
      </w:r>
      <w:bookmarkEnd w:id="45"/>
      <w:bookmarkEnd w:id="46"/>
    </w:p>
    <w:p w14:paraId="7D9B1A04">
      <w:pPr>
        <w:pStyle w:val="5"/>
      </w:pPr>
      <w:r>
        <w:rPr>
          <w:rFonts w:hint="eastAsia"/>
        </w:rPr>
        <w:t>功能描述</w:t>
      </w:r>
    </w:p>
    <w:p w14:paraId="1B8EF753">
      <w:pPr>
        <w:pStyle w:val="44"/>
        <w:spacing w:before="120" w:after="120"/>
        <w:ind w:firstLine="480"/>
      </w:pPr>
      <w:r>
        <w:rPr>
          <w:rFonts w:hint="eastAsia"/>
        </w:rPr>
        <w:t>历史序列功能</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提供投资组合及其关键指标的历史数据视图。这一功能使交易员及投资经理能够回顾并分析他们的投资组合在过去的表现，理解其在不同市场条件下的表现波动。</w:t>
      </w:r>
    </w:p>
    <w:p w14:paraId="6A1B222C">
      <w:pPr>
        <w:pStyle w:val="44"/>
        <w:spacing w:before="120" w:after="120"/>
        <w:ind w:firstLine="480"/>
      </w:pPr>
      <w:r>
        <w:rPr>
          <w:rFonts w:hint="eastAsia"/>
        </w:rPr>
        <w:t>系统</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支持组合各类指标的历史数据可视化图形展示及查询，包括绩效指标、特性指标、仓位指标等。</w:t>
      </w:r>
    </w:p>
    <w:p w14:paraId="093CCE16">
      <w:pPr>
        <w:pStyle w:val="44"/>
        <w:spacing w:before="120" w:after="120"/>
        <w:ind w:firstLine="480"/>
      </w:pPr>
      <w:r>
        <w:rPr>
          <w:rFonts w:hint="eastAsia"/>
        </w:rPr>
        <w:t>同时系统</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提供基准指标对比功能，通过这一功能，用户可以将自己的投资组合与市场基准或自定义基准进行细致对比，关注的关键指标可能包括收益率、波动性、夏普比率和其他风险/回报度量等。</w:t>
      </w:r>
    </w:p>
    <w:p w14:paraId="3C41962D">
      <w:pPr>
        <w:pStyle w:val="44"/>
        <w:spacing w:before="120" w:after="120"/>
        <w:ind w:firstLine="480"/>
      </w:pPr>
      <w:r>
        <w:rPr>
          <w:rFonts w:hint="eastAsia"/>
        </w:rPr>
        <w:t>系统</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 xml:space="preserve">支持： </w:t>
      </w:r>
    </w:p>
    <w:p w14:paraId="71EFE8F1">
      <w:pPr>
        <w:pStyle w:val="44"/>
        <w:spacing w:before="120" w:after="120"/>
        <w:ind w:firstLine="480"/>
      </w:pPr>
      <w:r>
        <w:rPr>
          <w:rFonts w:hint="eastAsia"/>
        </w:rPr>
        <w:t>1)</w:t>
      </w:r>
      <w:r>
        <w:rPr>
          <w:rFonts w:hint="eastAsia"/>
        </w:rPr>
        <w:tab/>
      </w:r>
      <w:r>
        <w:rPr>
          <w:rFonts w:hint="eastAsia"/>
        </w:rPr>
        <w:t>组合与单一指数基准进行区间绩效指标及时序对比</w:t>
      </w:r>
    </w:p>
    <w:p w14:paraId="113E7B80">
      <w:pPr>
        <w:pStyle w:val="44"/>
        <w:spacing w:before="120" w:after="120"/>
        <w:ind w:firstLine="480"/>
      </w:pPr>
      <w:r>
        <w:rPr>
          <w:rFonts w:hint="eastAsia"/>
        </w:rPr>
        <w:t>2)</w:t>
      </w:r>
      <w:r>
        <w:rPr>
          <w:rFonts w:hint="eastAsia"/>
        </w:rPr>
        <w:tab/>
      </w:r>
      <w:r>
        <w:rPr>
          <w:rFonts w:hint="eastAsia"/>
        </w:rPr>
        <w:t>组合与复合指数基准进行区间绩效指标及时序对比，其中复合指数支持将多条指数及市场利率根据自定义权重复合构建</w:t>
      </w:r>
    </w:p>
    <w:p w14:paraId="17AD12F6">
      <w:pPr>
        <w:pStyle w:val="44"/>
        <w:spacing w:before="120" w:after="120"/>
        <w:ind w:firstLine="480"/>
        <w:rPr>
          <w:rFonts w:hint="eastAsia"/>
        </w:rPr>
      </w:pPr>
      <w:r>
        <w:rPr>
          <w:rFonts w:hint="eastAsia"/>
        </w:rPr>
        <w:t>3)</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提供利率基准比较功能，支持复合指数基准根据组合持仓配置自定义动态调整各指数权重</w:t>
      </w:r>
    </w:p>
    <w:p w14:paraId="63716495">
      <w:pPr>
        <w:pStyle w:val="44"/>
        <w:spacing w:before="120" w:after="120"/>
        <w:ind w:firstLine="480"/>
      </w:pPr>
      <w:r>
        <w:rPr>
          <w:rFonts w:hint="eastAsia"/>
        </w:rPr>
        <w:t>4)</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支持组合与组合进行区间绩效指标及时序对比</w:t>
      </w:r>
    </w:p>
    <w:p w14:paraId="0CB171AE">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1D315C9F">
        <w:trPr>
          <w:tblHeader/>
          <w:jc w:val="center"/>
        </w:trPr>
        <w:tc>
          <w:tcPr>
            <w:tcW w:w="848" w:type="pct"/>
            <w:shd w:val="clear" w:color="auto" w:fill="E7E6E6" w:themeFill="background2"/>
          </w:tcPr>
          <w:p w14:paraId="572D037A">
            <w:pPr>
              <w:jc w:val="center"/>
              <w:rPr>
                <w:b/>
              </w:rPr>
            </w:pPr>
            <w:r>
              <w:rPr>
                <w:rFonts w:hint="eastAsia"/>
                <w:b/>
              </w:rPr>
              <w:t>类型</w:t>
            </w:r>
          </w:p>
        </w:tc>
        <w:tc>
          <w:tcPr>
            <w:tcW w:w="1653" w:type="pct"/>
            <w:shd w:val="clear" w:color="auto" w:fill="E7E6E6" w:themeFill="background2"/>
          </w:tcPr>
          <w:p w14:paraId="4601E246">
            <w:pPr>
              <w:jc w:val="center"/>
              <w:rPr>
                <w:b/>
              </w:rPr>
            </w:pPr>
            <w:r>
              <w:rPr>
                <w:rFonts w:hint="eastAsia"/>
                <w:b/>
              </w:rPr>
              <w:t>用户岗位描述</w:t>
            </w:r>
          </w:p>
        </w:tc>
        <w:tc>
          <w:tcPr>
            <w:tcW w:w="2498" w:type="pct"/>
            <w:shd w:val="clear" w:color="auto" w:fill="E7E6E6" w:themeFill="background2"/>
          </w:tcPr>
          <w:p w14:paraId="2028B2EC">
            <w:pPr>
              <w:jc w:val="center"/>
              <w:rPr>
                <w:b/>
              </w:rPr>
            </w:pPr>
            <w:r>
              <w:rPr>
                <w:rFonts w:hint="eastAsia"/>
                <w:b/>
              </w:rPr>
              <w:t>菜单归属或访问路径</w:t>
            </w:r>
          </w:p>
        </w:tc>
      </w:tr>
      <w:tr w14:paraId="0D0B462D">
        <w:trPr>
          <w:jc w:val="center"/>
        </w:trPr>
        <w:tc>
          <w:tcPr>
            <w:tcW w:w="848" w:type="pct"/>
          </w:tcPr>
          <w:p w14:paraId="79EE6666">
            <w:r>
              <w:rPr>
                <w:rFonts w:hint="eastAsia"/>
              </w:rPr>
              <w:t>行内员工</w:t>
            </w:r>
          </w:p>
        </w:tc>
        <w:tc>
          <w:tcPr>
            <w:tcW w:w="1653" w:type="pct"/>
          </w:tcPr>
          <w:p w14:paraId="671C87DB"/>
        </w:tc>
        <w:tc>
          <w:tcPr>
            <w:tcW w:w="2498" w:type="pct"/>
          </w:tcPr>
          <w:p w14:paraId="7623960D"/>
        </w:tc>
      </w:tr>
    </w:tbl>
    <w:p w14:paraId="4D764E42">
      <w:pPr>
        <w:pStyle w:val="5"/>
      </w:pPr>
      <w:r>
        <w:rPr>
          <w:rFonts w:hint="eastAsia"/>
        </w:rPr>
        <w:t>操作步骤</w:t>
      </w:r>
    </w:p>
    <w:p w14:paraId="5D63B867">
      <w:pPr>
        <w:spacing w:before="120" w:beforeLines="50" w:after="120" w:afterLines="50"/>
        <w:rPr>
          <w:sz w:val="24"/>
        </w:rPr>
      </w:pPr>
      <w:r>
        <w:rPr>
          <w:rFonts w:hint="eastAsia"/>
          <w:sz w:val="24"/>
        </w:rPr>
        <w:t>系统需支持交易员可以做如下相关操作：</w:t>
      </w:r>
    </w:p>
    <w:p w14:paraId="104FB4AD">
      <w:pPr>
        <w:numPr>
          <w:ilvl w:val="0"/>
          <w:numId w:val="16"/>
        </w:numPr>
        <w:spacing w:before="120" w:beforeLines="50" w:after="120" w:afterLines="50"/>
        <w:rPr>
          <w:sz w:val="24"/>
        </w:rPr>
      </w:pPr>
      <w:r>
        <w:rPr>
          <w:rFonts w:hint="eastAsia"/>
          <w:sz w:val="24"/>
        </w:rPr>
        <w:t>进入历史序列分析，选择要分析的特定投资组合登录系统，打开线上组合进入账簿管理页面，点击“历史序列”tab-&gt;打开组合历史序列功能页面</w:t>
      </w:r>
    </w:p>
    <w:p w14:paraId="6E063FF1">
      <w:pPr>
        <w:numPr>
          <w:ilvl w:val="0"/>
          <w:numId w:val="16"/>
        </w:numPr>
        <w:spacing w:before="120" w:beforeLines="50" w:after="120" w:afterLines="50"/>
        <w:rPr>
          <w:sz w:val="24"/>
        </w:rPr>
      </w:pPr>
      <w:r>
        <w:rPr>
          <w:rFonts w:hint="eastAsia"/>
          <w:sz w:val="24"/>
        </w:rPr>
        <w:t>通过指标选择下拉框，选择一个指标绘制该指标的历史序列曲线图；通过时间控件选择曲线图的绘制和显示区间</w:t>
      </w:r>
    </w:p>
    <w:p w14:paraId="725099F4">
      <w:pPr>
        <w:numPr>
          <w:ilvl w:val="0"/>
          <w:numId w:val="16"/>
        </w:numPr>
        <w:spacing w:before="120" w:beforeLines="50" w:after="120" w:afterLines="50"/>
        <w:rPr>
          <w:sz w:val="24"/>
        </w:rPr>
      </w:pPr>
      <w:r>
        <w:rPr>
          <w:rFonts w:hint="eastAsia"/>
          <w:sz w:val="24"/>
        </w:rPr>
        <w:t>点击导出按钮-&gt;导出当前选择指标设置区间内的时间序列数据到excel中，可以对导出数据做二次加工</w:t>
      </w:r>
    </w:p>
    <w:p w14:paraId="794C58FD">
      <w:pPr>
        <w:numPr>
          <w:ilvl w:val="0"/>
          <w:numId w:val="16"/>
        </w:numPr>
        <w:spacing w:before="120" w:after="120"/>
        <w:ind w:firstLineChars="0"/>
      </w:pPr>
      <w:r>
        <w:rPr>
          <w:rFonts w:hint="eastAsia"/>
          <w:sz w:val="24"/>
        </w:rPr>
        <w:t>选择基准下拉框，选择(多个)指数做基准-&gt;选择基准和组合同时列示在表现统计表格里</w:t>
      </w:r>
    </w:p>
    <w:p w14:paraId="483E695F">
      <w:pPr>
        <w:pStyle w:val="5"/>
      </w:pPr>
      <w:r>
        <w:rPr>
          <w:rFonts w:hint="eastAsia"/>
        </w:rPr>
        <w:t>用户界面</w:t>
      </w:r>
    </w:p>
    <w:p w14:paraId="389A98AB">
      <w:pPr>
        <w:pStyle w:val="6"/>
      </w:pPr>
      <w:r>
        <w:rPr>
          <w:rFonts w:hint="eastAsia"/>
        </w:rPr>
        <w:t>界面示意图</w:t>
      </w:r>
    </w:p>
    <w:p w14:paraId="1C1DC107">
      <w:pPr>
        <w:pStyle w:val="44"/>
        <w:spacing w:before="120" w:after="120"/>
        <w:ind w:firstLine="480"/>
      </w:pPr>
      <w:r>
        <w:drawing>
          <wp:inline distT="0" distB="0" distL="0" distR="0">
            <wp:extent cx="5400040" cy="3020060"/>
            <wp:effectExtent l="0" t="0" r="0" b="8890"/>
            <wp:docPr id="2727226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2682" name="图片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53DF09EB">
      <w:pPr>
        <w:pStyle w:val="44"/>
        <w:spacing w:before="120" w:after="120"/>
        <w:ind w:firstLine="480"/>
        <w:jc w:val="center"/>
      </w:pPr>
      <w:r>
        <w:rPr>
          <w:rFonts w:hint="eastAsia"/>
        </w:rPr>
        <w:t>时间序列分析</w:t>
      </w:r>
    </w:p>
    <w:p w14:paraId="5CD09510">
      <w:pPr>
        <w:pStyle w:val="44"/>
        <w:spacing w:before="120" w:after="120"/>
        <w:ind w:firstLine="482"/>
        <w:rPr>
          <w:b/>
        </w:rPr>
      </w:pPr>
      <w:r>
        <w:rPr>
          <w:rFonts w:hint="eastAsia"/>
          <w:b/>
        </w:rPr>
        <w:t>界面布局要求与说明：</w:t>
      </w:r>
    </w:p>
    <w:p w14:paraId="49D87283">
      <w:pPr>
        <w:pStyle w:val="44"/>
        <w:spacing w:before="120" w:after="120"/>
        <w:ind w:firstLine="480"/>
        <w:rPr>
          <w:bCs/>
        </w:rPr>
      </w:pPr>
      <w:r>
        <w:rPr>
          <w:rFonts w:hint="eastAsia"/>
          <w:bCs/>
        </w:rPr>
        <w:t>时序分析模块的界面布局应该设计得直观、易用，以便用户能够高效地进行数据分析和管理，包括：</w:t>
      </w:r>
    </w:p>
    <w:p w14:paraId="61237832">
      <w:pPr>
        <w:pStyle w:val="44"/>
        <w:spacing w:before="120" w:after="120"/>
        <w:ind w:firstLine="480"/>
        <w:rPr>
          <w:bCs/>
        </w:rPr>
      </w:pPr>
      <w:r>
        <w:rPr>
          <w:rFonts w:hint="eastAsia"/>
          <w:bCs/>
        </w:rPr>
        <w:t xml:space="preserve">1. </w:t>
      </w:r>
      <w:r>
        <w:rPr>
          <w:rFonts w:hint="eastAsia"/>
          <w:b/>
        </w:rPr>
        <w:t>组合选择区域：</w:t>
      </w:r>
      <w:r>
        <w:rPr>
          <w:rFonts w:hint="eastAsia"/>
          <w:bCs/>
        </w:rPr>
        <w:t>显眼位置，提供下拉菜单或搜索框，让用户选择特定的投资组合。</w:t>
      </w:r>
    </w:p>
    <w:p w14:paraId="7E462757">
      <w:pPr>
        <w:pStyle w:val="44"/>
        <w:spacing w:before="120" w:after="120"/>
        <w:ind w:firstLine="480"/>
      </w:pPr>
      <w:r>
        <w:rPr>
          <w:rFonts w:hint="eastAsia"/>
          <w:bCs/>
        </w:rPr>
        <w:t>2.</w:t>
      </w:r>
      <w:r>
        <w:rPr>
          <w:rFonts w:ascii="Helvetica" w:hAnsi="Helvetica"/>
          <w:b/>
          <w:bCs/>
          <w:color w:val="060607"/>
          <w:spacing w:val="4"/>
          <w:sz w:val="21"/>
          <w:szCs w:val="21"/>
          <w:shd w:val="clear" w:color="auto" w:fill="FFFFFF"/>
        </w:rPr>
        <w:t xml:space="preserve"> </w:t>
      </w:r>
      <w:r>
        <w:rPr>
          <w:b/>
          <w:bCs/>
        </w:rPr>
        <w:t>指标选择区域</w:t>
      </w:r>
      <w:r>
        <w:rPr>
          <w:rFonts w:hint="eastAsia"/>
          <w:b/>
          <w:bCs/>
        </w:rPr>
        <w:t>：</w:t>
      </w:r>
      <w:r>
        <w:rPr>
          <w:rFonts w:hint="eastAsia"/>
        </w:rPr>
        <w:t>提供清晰的选项，让用户选择要分析的指标类型（绩效指标、特性指标、仓位指标等）。</w:t>
      </w:r>
    </w:p>
    <w:p w14:paraId="021A217A">
      <w:pPr>
        <w:pStyle w:val="44"/>
        <w:spacing w:before="120" w:after="120"/>
        <w:ind w:firstLine="480"/>
      </w:pPr>
      <w:r>
        <w:rPr>
          <w:rFonts w:hint="eastAsia"/>
        </w:rPr>
        <w:t>3.</w:t>
      </w:r>
      <w:r>
        <w:rPr>
          <w:rFonts w:ascii="Helvetica" w:hAnsi="Helvetica"/>
          <w:b/>
          <w:bCs/>
          <w:color w:val="060607"/>
          <w:spacing w:val="4"/>
          <w:sz w:val="21"/>
          <w:szCs w:val="21"/>
          <w:shd w:val="clear" w:color="auto" w:fill="FFFFFF"/>
        </w:rPr>
        <w:t xml:space="preserve"> </w:t>
      </w:r>
      <w:r>
        <w:rPr>
          <w:b/>
          <w:bCs/>
        </w:rPr>
        <w:t>历史数据图表区</w:t>
      </w:r>
      <w:r>
        <w:rPr>
          <w:rFonts w:hint="eastAsia"/>
          <w:b/>
          <w:bCs/>
        </w:rPr>
        <w:t>：</w:t>
      </w:r>
      <w:r>
        <w:t>展示历史数据的可视化图表</w:t>
      </w:r>
      <w:r>
        <w:rPr>
          <w:rFonts w:hint="eastAsia"/>
        </w:rPr>
        <w:t>，</w:t>
      </w:r>
      <w:r>
        <w:t>图表应支持缩放、拖动等交互操作</w:t>
      </w:r>
      <w:r>
        <w:rPr>
          <w:rFonts w:hint="eastAsia"/>
        </w:rPr>
        <w:t>。</w:t>
      </w:r>
    </w:p>
    <w:p w14:paraId="3B305B6F">
      <w:pPr>
        <w:pStyle w:val="44"/>
        <w:spacing w:before="120" w:after="120"/>
        <w:ind w:firstLine="482"/>
        <w:rPr>
          <w:b/>
          <w:bCs/>
        </w:rPr>
      </w:pPr>
      <w:r>
        <w:rPr>
          <w:rFonts w:hint="eastAsia"/>
          <w:b/>
          <w:bCs/>
        </w:rPr>
        <w:t>4.表现统计：</w:t>
      </w:r>
      <w:r>
        <w:rPr>
          <w:rFonts w:hint="eastAsia"/>
        </w:rPr>
        <w:t>提供清晰的表现统计展示区域。</w:t>
      </w:r>
    </w:p>
    <w:p w14:paraId="3C54DEEB">
      <w:pPr>
        <w:pStyle w:val="44"/>
        <w:spacing w:before="120" w:after="120"/>
        <w:ind w:firstLine="482"/>
        <w:rPr>
          <w:bCs/>
        </w:rPr>
      </w:pPr>
      <w:r>
        <w:rPr>
          <w:rFonts w:hint="eastAsia"/>
          <w:b/>
          <w:bCs/>
        </w:rPr>
        <w:t>5.</w:t>
      </w:r>
      <w:r>
        <w:rPr>
          <w:rFonts w:ascii="Helvetica" w:hAnsi="Helvetica"/>
          <w:b/>
          <w:bCs/>
          <w:color w:val="060607"/>
          <w:spacing w:val="4"/>
          <w:sz w:val="21"/>
          <w:szCs w:val="21"/>
          <w:shd w:val="clear" w:color="auto" w:fill="FFFFFF"/>
        </w:rPr>
        <w:t xml:space="preserve"> </w:t>
      </w:r>
      <w:r>
        <w:rPr>
          <w:b/>
          <w:bCs/>
        </w:rPr>
        <w:t>数据导出按钮</w:t>
      </w:r>
      <w:r>
        <w:rPr>
          <w:rFonts w:hint="eastAsia"/>
          <w:b/>
          <w:bCs/>
        </w:rPr>
        <w:t>：</w:t>
      </w:r>
      <w:r>
        <w:rPr>
          <w:rFonts w:hint="eastAsia"/>
        </w:rPr>
        <w:t>允许用户导出数据。</w:t>
      </w:r>
    </w:p>
    <w:p w14:paraId="092405E9">
      <w:pPr>
        <w:pStyle w:val="44"/>
        <w:spacing w:before="120" w:after="120"/>
        <w:ind w:firstLine="480"/>
      </w:pPr>
    </w:p>
    <w:p w14:paraId="490CD74D">
      <w:pPr>
        <w:pStyle w:val="6"/>
      </w:pPr>
      <w:r>
        <w:rPr>
          <w:rFonts w:hint="eastAsia"/>
        </w:rPr>
        <w:t>输入输出说明</w:t>
      </w:r>
    </w:p>
    <w:p w14:paraId="5334E446">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7C50A884">
        <w:trPr>
          <w:tblHeader/>
          <w:jc w:val="center"/>
        </w:trPr>
        <w:tc>
          <w:tcPr>
            <w:tcW w:w="413" w:type="pct"/>
            <w:shd w:val="clear" w:color="auto" w:fill="E7E6E6" w:themeFill="background2"/>
          </w:tcPr>
          <w:p w14:paraId="7D3E124B">
            <w:pPr>
              <w:jc w:val="center"/>
              <w:rPr>
                <w:b/>
              </w:rPr>
            </w:pPr>
            <w:r>
              <w:rPr>
                <w:rFonts w:hint="eastAsia"/>
                <w:b/>
              </w:rPr>
              <w:t>序号</w:t>
            </w:r>
          </w:p>
        </w:tc>
        <w:tc>
          <w:tcPr>
            <w:tcW w:w="1084" w:type="pct"/>
            <w:shd w:val="clear" w:color="auto" w:fill="E7E6E6" w:themeFill="background2"/>
          </w:tcPr>
          <w:p w14:paraId="5B1B6152">
            <w:pPr>
              <w:jc w:val="center"/>
              <w:rPr>
                <w:b/>
              </w:rPr>
            </w:pPr>
            <w:r>
              <w:rPr>
                <w:rFonts w:hint="eastAsia"/>
                <w:b/>
              </w:rPr>
              <w:t>输入项</w:t>
            </w:r>
          </w:p>
        </w:tc>
        <w:tc>
          <w:tcPr>
            <w:tcW w:w="918" w:type="pct"/>
            <w:shd w:val="clear" w:color="auto" w:fill="E7E6E6" w:themeFill="background2"/>
          </w:tcPr>
          <w:p w14:paraId="0BFF748D">
            <w:pPr>
              <w:jc w:val="center"/>
              <w:rPr>
                <w:b/>
              </w:rPr>
            </w:pPr>
            <w:r>
              <w:rPr>
                <w:rFonts w:hint="eastAsia"/>
                <w:b/>
              </w:rPr>
              <w:t>取值范围</w:t>
            </w:r>
          </w:p>
        </w:tc>
        <w:tc>
          <w:tcPr>
            <w:tcW w:w="2086" w:type="pct"/>
            <w:shd w:val="clear" w:color="auto" w:fill="E7E6E6" w:themeFill="background2"/>
          </w:tcPr>
          <w:p w14:paraId="00A751F4">
            <w:pPr>
              <w:jc w:val="center"/>
              <w:rPr>
                <w:b/>
              </w:rPr>
            </w:pPr>
            <w:r>
              <w:rPr>
                <w:rFonts w:hint="eastAsia"/>
                <w:b/>
              </w:rPr>
              <w:t>规则说明</w:t>
            </w:r>
          </w:p>
        </w:tc>
        <w:tc>
          <w:tcPr>
            <w:tcW w:w="497" w:type="pct"/>
            <w:shd w:val="clear" w:color="auto" w:fill="E7E6E6" w:themeFill="background2"/>
          </w:tcPr>
          <w:p w14:paraId="7304E5C0">
            <w:pPr>
              <w:jc w:val="center"/>
              <w:rPr>
                <w:b/>
              </w:rPr>
            </w:pPr>
            <w:r>
              <w:rPr>
                <w:rFonts w:hint="eastAsia"/>
                <w:b/>
              </w:rPr>
              <w:t>必输</w:t>
            </w:r>
          </w:p>
        </w:tc>
      </w:tr>
      <w:tr w14:paraId="4C48C0A3">
        <w:trPr>
          <w:jc w:val="center"/>
        </w:trPr>
        <w:tc>
          <w:tcPr>
            <w:tcW w:w="413" w:type="pct"/>
          </w:tcPr>
          <w:p w14:paraId="5DD7BC42">
            <w:pPr>
              <w:pStyle w:val="34"/>
              <w:numPr>
                <w:ilvl w:val="0"/>
                <w:numId w:val="17"/>
              </w:numPr>
              <w:ind w:firstLineChars="0"/>
            </w:pPr>
          </w:p>
        </w:tc>
        <w:tc>
          <w:tcPr>
            <w:tcW w:w="1084" w:type="pct"/>
          </w:tcPr>
          <w:p w14:paraId="78EDD619">
            <w:r>
              <w:rPr>
                <w:rFonts w:hint="eastAsia"/>
              </w:rPr>
              <w:t>组合基本信息</w:t>
            </w:r>
          </w:p>
        </w:tc>
        <w:tc>
          <w:tcPr>
            <w:tcW w:w="918" w:type="pct"/>
          </w:tcPr>
          <w:p w14:paraId="16A670AC"/>
        </w:tc>
        <w:tc>
          <w:tcPr>
            <w:tcW w:w="2086" w:type="pct"/>
          </w:tcPr>
          <w:p w14:paraId="18BB490B">
            <w:r>
              <w:rPr>
                <w:rFonts w:hint="eastAsia"/>
              </w:rPr>
              <w:t>通过数据中台获取</w:t>
            </w:r>
          </w:p>
        </w:tc>
        <w:tc>
          <w:tcPr>
            <w:tcW w:w="497" w:type="pct"/>
          </w:tcPr>
          <w:p w14:paraId="42C25AF5">
            <w:r>
              <w:rPr>
                <w:rFonts w:hint="eastAsia" w:ascii="宋体" w:hAnsi="宋体"/>
                <w:iCs/>
              </w:rPr>
              <w:t>√</w:t>
            </w:r>
          </w:p>
        </w:tc>
      </w:tr>
      <w:tr w14:paraId="7A94E289">
        <w:trPr>
          <w:jc w:val="center"/>
        </w:trPr>
        <w:tc>
          <w:tcPr>
            <w:tcW w:w="413" w:type="pct"/>
          </w:tcPr>
          <w:p w14:paraId="7EB6C04C">
            <w:pPr>
              <w:pStyle w:val="34"/>
              <w:numPr>
                <w:ilvl w:val="0"/>
                <w:numId w:val="17"/>
              </w:numPr>
              <w:ind w:firstLineChars="0"/>
            </w:pPr>
          </w:p>
        </w:tc>
        <w:tc>
          <w:tcPr>
            <w:tcW w:w="1084" w:type="pct"/>
          </w:tcPr>
          <w:p w14:paraId="195E3880">
            <w:pPr>
              <w:rPr>
                <w:i/>
                <w:color w:val="0000FF"/>
              </w:rPr>
            </w:pPr>
            <w:r>
              <w:rPr>
                <w:rFonts w:hint="eastAsia"/>
                <w:iCs/>
              </w:rPr>
              <w:t>组合比较基准</w:t>
            </w:r>
          </w:p>
        </w:tc>
        <w:tc>
          <w:tcPr>
            <w:tcW w:w="918" w:type="pct"/>
          </w:tcPr>
          <w:p w14:paraId="3DFD7FA0">
            <w:pPr>
              <w:rPr>
                <w:i/>
                <w:color w:val="0000FF"/>
              </w:rPr>
            </w:pPr>
          </w:p>
        </w:tc>
        <w:tc>
          <w:tcPr>
            <w:tcW w:w="2086" w:type="pct"/>
          </w:tcPr>
          <w:p w14:paraId="7313902C">
            <w:pPr>
              <w:rPr>
                <w:i/>
                <w:color w:val="0000FF"/>
              </w:rPr>
            </w:pPr>
            <w:r>
              <w:rPr>
                <w:rFonts w:hint="eastAsia"/>
              </w:rPr>
              <w:t>通过筛选栏控制用户输入</w:t>
            </w:r>
          </w:p>
        </w:tc>
        <w:tc>
          <w:tcPr>
            <w:tcW w:w="497" w:type="pct"/>
          </w:tcPr>
          <w:p w14:paraId="6F6E8816">
            <w:pPr>
              <w:rPr>
                <w:i/>
                <w:color w:val="0000FF"/>
              </w:rPr>
            </w:pPr>
            <w:r>
              <w:rPr>
                <w:rFonts w:hint="eastAsia" w:ascii="宋体" w:hAnsi="宋体"/>
                <w:iCs/>
              </w:rPr>
              <w:t>√</w:t>
            </w:r>
          </w:p>
        </w:tc>
      </w:tr>
      <w:tr w14:paraId="41271FBB">
        <w:trPr>
          <w:jc w:val="center"/>
        </w:trPr>
        <w:tc>
          <w:tcPr>
            <w:tcW w:w="413" w:type="pct"/>
          </w:tcPr>
          <w:p w14:paraId="084A939D">
            <w:pPr>
              <w:pStyle w:val="34"/>
              <w:numPr>
                <w:ilvl w:val="0"/>
                <w:numId w:val="17"/>
              </w:numPr>
              <w:ind w:firstLineChars="0"/>
            </w:pPr>
          </w:p>
        </w:tc>
        <w:tc>
          <w:tcPr>
            <w:tcW w:w="1084" w:type="pct"/>
          </w:tcPr>
          <w:p w14:paraId="13C6A541">
            <w:pPr>
              <w:rPr>
                <w:iCs/>
                <w:color w:val="0000FF"/>
              </w:rPr>
            </w:pPr>
            <w:r>
              <w:rPr>
                <w:rFonts w:hint="eastAsia"/>
                <w:iCs/>
              </w:rPr>
              <w:t>组合指标选择</w:t>
            </w:r>
          </w:p>
        </w:tc>
        <w:tc>
          <w:tcPr>
            <w:tcW w:w="918" w:type="pct"/>
          </w:tcPr>
          <w:p w14:paraId="341A6CF2">
            <w:pPr>
              <w:rPr>
                <w:i/>
                <w:color w:val="0000FF"/>
              </w:rPr>
            </w:pPr>
          </w:p>
        </w:tc>
        <w:tc>
          <w:tcPr>
            <w:tcW w:w="2086" w:type="pct"/>
          </w:tcPr>
          <w:p w14:paraId="077B0D72">
            <w:pPr>
              <w:rPr>
                <w:i/>
                <w:color w:val="0000FF"/>
              </w:rPr>
            </w:pPr>
            <w:r>
              <w:rPr>
                <w:rFonts w:hint="eastAsia"/>
              </w:rPr>
              <w:t>通过筛选栏控制用户输入</w:t>
            </w:r>
          </w:p>
        </w:tc>
        <w:tc>
          <w:tcPr>
            <w:tcW w:w="497" w:type="pct"/>
          </w:tcPr>
          <w:p w14:paraId="1D21CCAC">
            <w:pPr>
              <w:rPr>
                <w:i/>
                <w:color w:val="0000FF"/>
              </w:rPr>
            </w:pPr>
            <w:r>
              <w:rPr>
                <w:rFonts w:hint="eastAsia" w:ascii="宋体" w:hAnsi="宋体"/>
                <w:iCs/>
              </w:rPr>
              <w:t>√</w:t>
            </w:r>
          </w:p>
        </w:tc>
      </w:tr>
    </w:tbl>
    <w:p w14:paraId="3D10B8D4"/>
    <w:p w14:paraId="1BE44214">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3"/>
        <w:gridCol w:w="1776"/>
        <w:gridCol w:w="4040"/>
      </w:tblGrid>
      <w:tr w14:paraId="7CCC39E7">
        <w:trPr>
          <w:tblHeader/>
          <w:jc w:val="center"/>
        </w:trPr>
        <w:tc>
          <w:tcPr>
            <w:tcW w:w="413" w:type="pct"/>
            <w:shd w:val="clear" w:color="auto" w:fill="E7E6E6" w:themeFill="background2"/>
          </w:tcPr>
          <w:p w14:paraId="78E30FFE">
            <w:pPr>
              <w:jc w:val="center"/>
              <w:rPr>
                <w:b/>
              </w:rPr>
            </w:pPr>
            <w:r>
              <w:rPr>
                <w:rFonts w:hint="eastAsia"/>
                <w:b/>
              </w:rPr>
              <w:t>序号</w:t>
            </w:r>
          </w:p>
        </w:tc>
        <w:tc>
          <w:tcPr>
            <w:tcW w:w="1251" w:type="pct"/>
            <w:shd w:val="clear" w:color="auto" w:fill="E7E6E6" w:themeFill="background2"/>
          </w:tcPr>
          <w:p w14:paraId="72EE3B64">
            <w:pPr>
              <w:jc w:val="center"/>
              <w:rPr>
                <w:b/>
              </w:rPr>
            </w:pPr>
            <w:r>
              <w:rPr>
                <w:rFonts w:hint="eastAsia"/>
                <w:b/>
              </w:rPr>
              <w:t>输出项</w:t>
            </w:r>
          </w:p>
        </w:tc>
        <w:tc>
          <w:tcPr>
            <w:tcW w:w="1018" w:type="pct"/>
            <w:shd w:val="clear" w:color="auto" w:fill="E7E6E6" w:themeFill="background2"/>
          </w:tcPr>
          <w:p w14:paraId="6470F518">
            <w:pPr>
              <w:jc w:val="center"/>
              <w:rPr>
                <w:b/>
              </w:rPr>
            </w:pPr>
            <w:r>
              <w:rPr>
                <w:rFonts w:hint="eastAsia"/>
                <w:b/>
              </w:rPr>
              <w:t>取值范围</w:t>
            </w:r>
          </w:p>
        </w:tc>
        <w:tc>
          <w:tcPr>
            <w:tcW w:w="2315" w:type="pct"/>
            <w:shd w:val="clear" w:color="auto" w:fill="E7E6E6" w:themeFill="background2"/>
          </w:tcPr>
          <w:p w14:paraId="6F4D153B">
            <w:pPr>
              <w:jc w:val="center"/>
              <w:rPr>
                <w:b/>
              </w:rPr>
            </w:pPr>
            <w:r>
              <w:rPr>
                <w:rFonts w:hint="eastAsia"/>
                <w:b/>
              </w:rPr>
              <w:t>规则说明</w:t>
            </w:r>
          </w:p>
        </w:tc>
      </w:tr>
      <w:tr w14:paraId="013DE320">
        <w:trPr>
          <w:jc w:val="center"/>
        </w:trPr>
        <w:tc>
          <w:tcPr>
            <w:tcW w:w="413" w:type="pct"/>
          </w:tcPr>
          <w:p w14:paraId="5BF0CCC7">
            <w:pPr>
              <w:pStyle w:val="34"/>
              <w:numPr>
                <w:ilvl w:val="0"/>
                <w:numId w:val="18"/>
              </w:numPr>
              <w:ind w:firstLineChars="0"/>
            </w:pPr>
          </w:p>
        </w:tc>
        <w:tc>
          <w:tcPr>
            <w:tcW w:w="1251" w:type="pct"/>
          </w:tcPr>
          <w:p w14:paraId="0F42E5D6">
            <w:pPr>
              <w:rPr>
                <w:iCs/>
              </w:rPr>
            </w:pPr>
            <w:r>
              <w:rPr>
                <w:rFonts w:hint="eastAsia"/>
                <w:iCs/>
              </w:rPr>
              <w:t>组合历史表现时序图</w:t>
            </w:r>
          </w:p>
        </w:tc>
        <w:tc>
          <w:tcPr>
            <w:tcW w:w="1018" w:type="pct"/>
          </w:tcPr>
          <w:p w14:paraId="364381CB"/>
        </w:tc>
        <w:tc>
          <w:tcPr>
            <w:tcW w:w="2315" w:type="pct"/>
          </w:tcPr>
          <w:p w14:paraId="35C4AD92">
            <w:r>
              <w:rPr>
                <w:rFonts w:hint="eastAsia"/>
              </w:rPr>
              <w:t>以可视化图表展示</w:t>
            </w:r>
          </w:p>
        </w:tc>
      </w:tr>
      <w:tr w14:paraId="7BB279F1">
        <w:trPr>
          <w:jc w:val="center"/>
        </w:trPr>
        <w:tc>
          <w:tcPr>
            <w:tcW w:w="413" w:type="pct"/>
          </w:tcPr>
          <w:p w14:paraId="5959237B">
            <w:pPr>
              <w:pStyle w:val="34"/>
              <w:numPr>
                <w:ilvl w:val="0"/>
                <w:numId w:val="18"/>
              </w:numPr>
              <w:ind w:firstLineChars="0"/>
            </w:pPr>
          </w:p>
        </w:tc>
        <w:tc>
          <w:tcPr>
            <w:tcW w:w="1251" w:type="pct"/>
          </w:tcPr>
          <w:p w14:paraId="296B4963">
            <w:r>
              <w:rPr>
                <w:rFonts w:hint="eastAsia"/>
              </w:rPr>
              <w:t>组合表现统计</w:t>
            </w:r>
          </w:p>
        </w:tc>
        <w:tc>
          <w:tcPr>
            <w:tcW w:w="1018" w:type="pct"/>
          </w:tcPr>
          <w:p w14:paraId="764F014E"/>
        </w:tc>
        <w:tc>
          <w:tcPr>
            <w:tcW w:w="2315" w:type="pct"/>
          </w:tcPr>
          <w:p w14:paraId="1B707C8A">
            <w:r>
              <w:rPr>
                <w:rFonts w:hint="eastAsia"/>
              </w:rPr>
              <w:t>以可视化图表展示</w:t>
            </w:r>
          </w:p>
        </w:tc>
      </w:tr>
    </w:tbl>
    <w:p w14:paraId="7BBA9431">
      <w:pPr>
        <w:pStyle w:val="6"/>
      </w:pPr>
      <w:r>
        <w:rPr>
          <w:rFonts w:hint="eastAsia"/>
        </w:rPr>
        <w:t>业务凭证</w:t>
      </w:r>
    </w:p>
    <w:p w14:paraId="1F040088">
      <w:r>
        <w:rPr>
          <w:rFonts w:hint="eastAsia"/>
        </w:rPr>
        <w:t xml:space="preserve">  不涉及。</w:t>
      </w:r>
    </w:p>
    <w:p w14:paraId="5544FC94">
      <w:pPr>
        <w:pStyle w:val="5"/>
      </w:pPr>
      <w:r>
        <w:rPr>
          <w:rFonts w:hint="eastAsia"/>
        </w:rPr>
        <w:t>业务规则说明</w:t>
      </w:r>
    </w:p>
    <w:p w14:paraId="169FC598">
      <w:pPr>
        <w:pStyle w:val="6"/>
      </w:pPr>
      <w:r>
        <w:rPr>
          <w:rFonts w:hint="eastAsia"/>
        </w:rPr>
        <w:t>业务处理规则</w:t>
      </w:r>
    </w:p>
    <w:p w14:paraId="0A6E378F">
      <w:pPr>
        <w:pStyle w:val="44"/>
        <w:spacing w:before="120" w:after="120"/>
        <w:ind w:firstLine="480"/>
      </w:pPr>
      <w:r>
        <w:rPr>
          <w:rFonts w:hint="eastAsia"/>
        </w:rPr>
        <w:t>1.允许用户添加指数库中的指数、复合指数以及自定义指数。</w:t>
      </w:r>
    </w:p>
    <w:p w14:paraId="7C67D8D1">
      <w:pPr>
        <w:pStyle w:val="44"/>
        <w:spacing w:before="120" w:after="120"/>
        <w:ind w:left="480" w:firstLine="0" w:firstLineChars="0"/>
      </w:pPr>
      <w:r>
        <w:rPr>
          <w:rFonts w:hint="eastAsia"/>
        </w:rPr>
        <w:t>2.内置最大可同时展示的曲线上限。</w:t>
      </w:r>
    </w:p>
    <w:p w14:paraId="39CCC9D6">
      <w:pPr>
        <w:pStyle w:val="44"/>
        <w:spacing w:before="120" w:after="120"/>
        <w:ind w:left="480" w:firstLine="0" w:firstLineChars="0"/>
      </w:pPr>
      <w:r>
        <w:rPr>
          <w:rFonts w:hint="eastAsia"/>
        </w:rPr>
        <w:t>3.对于不同时间、不同单位的区间曲线，系统内置曲线的双坐标轴显示，内置时间频率的复合展示。</w:t>
      </w:r>
    </w:p>
    <w:p w14:paraId="3F243F40">
      <w:pPr>
        <w:pStyle w:val="6"/>
      </w:pPr>
      <w:r>
        <w:rPr>
          <w:rFonts w:hint="eastAsia"/>
        </w:rPr>
        <w:t>授权复核场景与规则</w:t>
      </w:r>
    </w:p>
    <w:p w14:paraId="2460F31F">
      <w:pPr>
        <w:ind w:firstLine="420"/>
      </w:pPr>
      <w:r>
        <w:rPr>
          <w:rFonts w:hint="eastAsia"/>
        </w:rPr>
        <w:t>不涉及。</w:t>
      </w:r>
    </w:p>
    <w:p w14:paraId="064B3798">
      <w:pPr>
        <w:pStyle w:val="6"/>
      </w:pPr>
      <w:r>
        <w:rPr>
          <w:rFonts w:hint="eastAsia"/>
        </w:rPr>
        <w:t>收费场景与规则</w:t>
      </w:r>
    </w:p>
    <w:p w14:paraId="13BA2C54">
      <w:pPr>
        <w:ind w:firstLine="420"/>
      </w:pPr>
      <w:r>
        <w:rPr>
          <w:rFonts w:hint="eastAsia"/>
        </w:rPr>
        <w:t>不涉及。</w:t>
      </w:r>
    </w:p>
    <w:p w14:paraId="1BE4B21C">
      <w:pPr>
        <w:pStyle w:val="6"/>
      </w:pPr>
      <w:r>
        <w:rPr>
          <w:rFonts w:hint="eastAsia"/>
        </w:rPr>
        <w:t>核算场景与规则</w:t>
      </w:r>
    </w:p>
    <w:p w14:paraId="34FCB3F7">
      <w:pPr>
        <w:ind w:firstLine="420"/>
      </w:pPr>
      <w:r>
        <w:rPr>
          <w:rFonts w:hint="eastAsia"/>
        </w:rPr>
        <w:t>不涉及。</w:t>
      </w:r>
    </w:p>
    <w:p w14:paraId="007377CC">
      <w:pPr>
        <w:pStyle w:val="44"/>
        <w:spacing w:before="120" w:after="120"/>
        <w:ind w:firstLine="0" w:firstLineChars="0"/>
      </w:pPr>
    </w:p>
    <w:p w14:paraId="07ADDAF8">
      <w:pPr>
        <w:pStyle w:val="5"/>
      </w:pPr>
      <w:r>
        <w:rPr>
          <w:rFonts w:hint="eastAsia"/>
        </w:rPr>
        <w:t>后续业务处理</w:t>
      </w:r>
    </w:p>
    <w:p w14:paraId="7F400D83">
      <w:pPr>
        <w:pStyle w:val="44"/>
        <w:spacing w:before="120" w:after="120"/>
        <w:ind w:firstLine="480"/>
      </w:pPr>
      <w:r>
        <w:rPr>
          <w:rFonts w:hint="eastAsia"/>
        </w:rPr>
        <w:t>不涉及。</w:t>
      </w:r>
    </w:p>
    <w:p w14:paraId="583B85A9">
      <w:pPr>
        <w:pStyle w:val="5"/>
      </w:pPr>
      <w:r>
        <w:rPr>
          <w:rFonts w:hint="eastAsia"/>
        </w:rPr>
        <w:t>异常及备注处理</w:t>
      </w:r>
    </w:p>
    <w:p w14:paraId="7715DDDF">
      <w:pPr>
        <w:rPr>
          <w:sz w:val="24"/>
          <w:szCs w:val="28"/>
        </w:rPr>
      </w:pPr>
      <w:r>
        <w:rPr>
          <w:rFonts w:hint="eastAsia"/>
          <w:sz w:val="24"/>
          <w:szCs w:val="28"/>
        </w:rPr>
        <w:t>1.</w:t>
      </w:r>
      <w:r>
        <w:rPr>
          <w:rFonts w:hint="eastAsia"/>
          <w:sz w:val="24"/>
          <w:szCs w:val="28"/>
        </w:rPr>
        <w:tab/>
      </w:r>
      <w:r>
        <w:rPr>
          <w:rFonts w:hint="eastAsia"/>
          <w:sz w:val="24"/>
          <w:szCs w:val="28"/>
        </w:rPr>
        <w:t>时间序列功能要求进行输入验证。在用户进行复合指数命名时，需要对输入的文本进行严格验证，确保文本格式正确，符合预期的字符类型。若为空或重复时，则需提示易于理解的信息和后续操作步骤，不要直接提示技术类的错误信息。</w:t>
      </w:r>
    </w:p>
    <w:p w14:paraId="18689E11">
      <w:r>
        <w:rPr>
          <w:rFonts w:hint="eastAsia"/>
          <w:sz w:val="24"/>
          <w:szCs w:val="28"/>
        </w:rPr>
        <w:t>2.</w:t>
      </w:r>
      <w:r>
        <w:rPr>
          <w:rFonts w:hint="eastAsia"/>
          <w:sz w:val="24"/>
          <w:szCs w:val="28"/>
        </w:rPr>
        <w:tab/>
      </w:r>
      <w:r>
        <w:rPr>
          <w:rFonts w:hint="eastAsia"/>
          <w:sz w:val="24"/>
          <w:szCs w:val="28"/>
        </w:rPr>
        <w:t>应用调取数据出错时，需将异常信息记录到日志文件中，以便开发人员分析和调试。</w:t>
      </w:r>
    </w:p>
    <w:p w14:paraId="7A46E476">
      <w:pPr>
        <w:pStyle w:val="4"/>
      </w:pPr>
      <w:bookmarkStart w:id="47" w:name="_Toc4536"/>
      <w:bookmarkStart w:id="48" w:name="_Toc184053078"/>
      <w:r>
        <w:rPr>
          <w:rFonts w:hint="eastAsia"/>
        </w:rPr>
        <w:t>组合总结</w:t>
      </w:r>
      <w:bookmarkEnd w:id="38"/>
      <w:bookmarkEnd w:id="39"/>
      <w:bookmarkEnd w:id="40"/>
      <w:bookmarkEnd w:id="47"/>
      <w:bookmarkEnd w:id="48"/>
    </w:p>
    <w:p w14:paraId="58EA9467">
      <w:pPr>
        <w:pStyle w:val="5"/>
      </w:pPr>
      <w:r>
        <w:rPr>
          <w:rFonts w:hint="eastAsia"/>
        </w:rPr>
        <w:t>功能描述</w:t>
      </w:r>
    </w:p>
    <w:p w14:paraId="173EE49F">
      <w:pPr>
        <w:pStyle w:val="44"/>
        <w:spacing w:before="120" w:after="120"/>
        <w:ind w:firstLine="480"/>
        <w:rPr>
          <w:rFonts w:hint="eastAsia" w:cs="仿宋_GB2312" w:asciiTheme="minorEastAsia" w:hAnsiTheme="minorEastAsia" w:eastAsiaTheme="minorEastAsia"/>
          <w:color w:val="000000" w:themeColor="text1"/>
          <w:kern w:val="0"/>
          <w:szCs w:val="24"/>
          <w14:textFill>
            <w14:solidFill>
              <w14:schemeClr w14:val="tx1"/>
            </w14:solidFill>
          </w14:textFill>
        </w:rPr>
      </w:pPr>
      <w:r>
        <w:rPr>
          <w:rFonts w:hint="eastAsia" w:cs="仿宋_GB2312" w:asciiTheme="minorEastAsia" w:hAnsiTheme="minorEastAsia" w:eastAsiaTheme="minorEastAsia"/>
          <w:color w:val="000000" w:themeColor="text1"/>
          <w:kern w:val="0"/>
          <w:szCs w:val="24"/>
          <w14:textFill>
            <w14:solidFill>
              <w14:schemeClr w14:val="tx1"/>
            </w14:solidFill>
          </w14:textFill>
        </w:rPr>
        <w:t>组合总结模块通过大屏形式汇总展示用户最关心的组合关键信息，应支持提供全面的指标概览、收益概览、资产结构和相关事件信息，使用户能够快速掌握组合的资产收益情况，并对关键性指标进行直观的可视化展示，主要功能点包括：</w:t>
      </w:r>
    </w:p>
    <w:p w14:paraId="4BDAD107">
      <w:pPr>
        <w:pStyle w:val="44"/>
        <w:numPr>
          <w:ilvl w:val="0"/>
          <w:numId w:val="19"/>
        </w:numPr>
        <w:spacing w:before="120" w:after="120"/>
        <w:ind w:hanging="440" w:firstLineChars="0"/>
        <w:rPr>
          <w:rFonts w:hint="eastAsia" w:cs="仿宋_GB2312" w:asciiTheme="minorEastAsia" w:hAnsiTheme="minorEastAsia" w:eastAsiaTheme="minorEastAsia"/>
          <w:color w:val="000000" w:themeColor="text1"/>
          <w:kern w:val="0"/>
          <w:szCs w:val="24"/>
          <w14:textFill>
            <w14:solidFill>
              <w14:schemeClr w14:val="tx1"/>
            </w14:solidFill>
          </w14:textFill>
        </w:rPr>
      </w:pPr>
      <w:r>
        <w:rPr>
          <w:rFonts w:hint="eastAsia" w:cs="仿宋_GB2312" w:asciiTheme="minorEastAsia" w:hAnsiTheme="minorEastAsia" w:eastAsiaTheme="minorEastAsia"/>
          <w:color w:val="000000" w:themeColor="text1"/>
          <w:kern w:val="0"/>
          <w:szCs w:val="24"/>
          <w14:textFill>
            <w14:solidFill>
              <w14:schemeClr w14:val="tx1"/>
            </w14:solidFill>
          </w14:textFill>
        </w:rPr>
        <w:t>需要提供对于单组合或多组合汇总数据的展示和分析，包括：组合基本信息、组合绩效指标、组合特性指标、组合持仓指标等；</w:t>
      </w:r>
    </w:p>
    <w:p w14:paraId="791B88A7">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0CB998E9">
        <w:trPr>
          <w:tblHeader/>
          <w:jc w:val="center"/>
        </w:trPr>
        <w:tc>
          <w:tcPr>
            <w:tcW w:w="848" w:type="pct"/>
            <w:shd w:val="clear" w:color="auto" w:fill="E7E6E6" w:themeFill="background2"/>
          </w:tcPr>
          <w:p w14:paraId="7E238D60">
            <w:pPr>
              <w:jc w:val="center"/>
              <w:rPr>
                <w:b/>
              </w:rPr>
            </w:pPr>
            <w:r>
              <w:rPr>
                <w:rFonts w:hint="eastAsia"/>
                <w:b/>
              </w:rPr>
              <w:t>类型</w:t>
            </w:r>
          </w:p>
        </w:tc>
        <w:tc>
          <w:tcPr>
            <w:tcW w:w="1653" w:type="pct"/>
            <w:shd w:val="clear" w:color="auto" w:fill="E7E6E6" w:themeFill="background2"/>
          </w:tcPr>
          <w:p w14:paraId="37B77C9C">
            <w:pPr>
              <w:jc w:val="center"/>
              <w:rPr>
                <w:b/>
              </w:rPr>
            </w:pPr>
            <w:r>
              <w:rPr>
                <w:rFonts w:hint="eastAsia"/>
                <w:b/>
              </w:rPr>
              <w:t>用户岗位描述</w:t>
            </w:r>
          </w:p>
        </w:tc>
        <w:tc>
          <w:tcPr>
            <w:tcW w:w="2498" w:type="pct"/>
            <w:shd w:val="clear" w:color="auto" w:fill="E7E6E6" w:themeFill="background2"/>
          </w:tcPr>
          <w:p w14:paraId="2CDD488B">
            <w:pPr>
              <w:jc w:val="center"/>
              <w:rPr>
                <w:b/>
              </w:rPr>
            </w:pPr>
            <w:r>
              <w:rPr>
                <w:rFonts w:hint="eastAsia"/>
                <w:b/>
              </w:rPr>
              <w:t>菜单归属或访问路径</w:t>
            </w:r>
          </w:p>
        </w:tc>
      </w:tr>
      <w:tr w14:paraId="1B8B9DB7">
        <w:trPr>
          <w:jc w:val="center"/>
        </w:trPr>
        <w:tc>
          <w:tcPr>
            <w:tcW w:w="848" w:type="pct"/>
          </w:tcPr>
          <w:p w14:paraId="335835BA">
            <w:r>
              <w:rPr>
                <w:rFonts w:hint="eastAsia"/>
              </w:rPr>
              <w:t>行内员工</w:t>
            </w:r>
          </w:p>
        </w:tc>
        <w:tc>
          <w:tcPr>
            <w:tcW w:w="1653" w:type="pct"/>
          </w:tcPr>
          <w:p w14:paraId="1D835598"/>
        </w:tc>
        <w:tc>
          <w:tcPr>
            <w:tcW w:w="2498" w:type="pct"/>
          </w:tcPr>
          <w:p w14:paraId="3D3215C3"/>
        </w:tc>
      </w:tr>
    </w:tbl>
    <w:p w14:paraId="425F640D">
      <w:pPr>
        <w:pStyle w:val="5"/>
      </w:pPr>
      <w:r>
        <w:rPr>
          <w:rFonts w:hint="eastAsia"/>
        </w:rPr>
        <w:t>操作步骤</w:t>
      </w:r>
    </w:p>
    <w:p w14:paraId="4F102A72">
      <w:pPr>
        <w:ind w:firstLine="480" w:firstLineChars="200"/>
      </w:pPr>
      <w:r>
        <w:rPr>
          <w:rFonts w:hint="eastAsia"/>
          <w:sz w:val="24"/>
        </w:rPr>
        <w:t>系统需支持交易员可以做如下相关操作：</w:t>
      </w:r>
    </w:p>
    <w:p w14:paraId="1F67781A">
      <w:pPr>
        <w:pStyle w:val="44"/>
        <w:spacing w:before="120" w:after="120"/>
        <w:ind w:firstLine="480"/>
      </w:pPr>
      <w:r>
        <w:rPr>
          <w:rFonts w:hint="eastAsia"/>
        </w:rPr>
        <w:t>1.系统中进入账簿管理页面，点击“组合总结”--&gt;打开组合总结页面，该页面可查看组合的各类指标；</w:t>
      </w:r>
    </w:p>
    <w:p w14:paraId="4A407646">
      <w:pPr>
        <w:pStyle w:val="44"/>
        <w:spacing w:before="120" w:after="120"/>
        <w:ind w:firstLine="480"/>
      </w:pPr>
      <w:r>
        <w:rPr>
          <w:rFonts w:hint="eastAsia"/>
          <w:lang w:val="en-US" w:eastAsia="zh-CN"/>
        </w:rPr>
        <w:t>2</w:t>
      </w:r>
      <w:r>
        <w:rPr>
          <w:rFonts w:hint="eastAsia"/>
        </w:rPr>
        <w:t>.页面视图模板下拉框，选择一个视图-&gt;页面刷新，切换至该视图排版显示&amp;该视图下的相关指标展示；</w:t>
      </w:r>
    </w:p>
    <w:p w14:paraId="55E78BDF">
      <w:pPr>
        <w:pStyle w:val="44"/>
        <w:spacing w:before="120" w:after="120"/>
        <w:ind w:firstLine="480"/>
      </w:pPr>
      <w:r>
        <w:rPr>
          <w:rFonts w:hint="eastAsia"/>
          <w:lang w:val="en-US" w:eastAsia="zh-CN"/>
        </w:rPr>
        <w:t>3</w:t>
      </w:r>
      <w:r>
        <w:rPr>
          <w:rFonts w:hint="eastAsia"/>
        </w:rPr>
        <w:t>.通过页面时间控件，选择设置一个历史时间-&gt;页面计算刷新完毕，页面指标的数据截止日期为当前设置的时间；</w:t>
      </w:r>
    </w:p>
    <w:p w14:paraId="337A572B">
      <w:pPr>
        <w:pStyle w:val="44"/>
        <w:spacing w:before="120" w:after="120"/>
        <w:ind w:firstLine="480"/>
      </w:pPr>
      <w:r>
        <w:rPr>
          <w:rFonts w:hint="eastAsia"/>
          <w:lang w:val="en-US" w:eastAsia="zh-CN"/>
        </w:rPr>
        <w:t>4</w:t>
      </w:r>
      <w:r>
        <w:rPr>
          <w:rFonts w:hint="eastAsia"/>
        </w:rPr>
        <w:t>.点击“分析报告”按钮-&gt;生成组合总结页面指标数据的分析报告。</w:t>
      </w:r>
    </w:p>
    <w:p w14:paraId="1DF09F24">
      <w:pPr>
        <w:pStyle w:val="5"/>
      </w:pPr>
      <w:r>
        <w:rPr>
          <w:rFonts w:hint="eastAsia"/>
        </w:rPr>
        <w:t>用户界面</w:t>
      </w:r>
    </w:p>
    <w:p w14:paraId="752AE05A">
      <w:pPr>
        <w:pStyle w:val="6"/>
      </w:pPr>
      <w:r>
        <w:rPr>
          <w:rFonts w:hint="eastAsia"/>
        </w:rPr>
        <w:t>界面示意图</w:t>
      </w:r>
    </w:p>
    <w:p w14:paraId="0137A62E">
      <w:pPr>
        <w:pStyle w:val="44"/>
        <w:spacing w:before="120" w:after="120"/>
        <w:ind w:firstLine="480"/>
        <w:jc w:val="center"/>
      </w:pPr>
      <w:r>
        <w:drawing>
          <wp:inline distT="0" distB="0" distL="0" distR="0">
            <wp:extent cx="5400040" cy="3021330"/>
            <wp:effectExtent l="0" t="0" r="0" b="7620"/>
            <wp:docPr id="14433179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7990" name="图片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00040" cy="3021330"/>
                    </a:xfrm>
                    <a:prstGeom prst="rect">
                      <a:avLst/>
                    </a:prstGeom>
                    <a:noFill/>
                    <a:ln>
                      <a:noFill/>
                    </a:ln>
                  </pic:spPr>
                </pic:pic>
              </a:graphicData>
            </a:graphic>
          </wp:inline>
        </w:drawing>
      </w:r>
      <w:r>
        <w:rPr>
          <w:rFonts w:hint="eastAsia"/>
        </w:rPr>
        <w:t>组合总结</w:t>
      </w:r>
    </w:p>
    <w:p w14:paraId="4C233445">
      <w:pPr>
        <w:pStyle w:val="44"/>
        <w:spacing w:before="120" w:after="120"/>
        <w:ind w:firstLine="480"/>
      </w:pPr>
    </w:p>
    <w:p w14:paraId="5460D0F1">
      <w:pPr>
        <w:pStyle w:val="44"/>
        <w:spacing w:before="120" w:after="120"/>
        <w:ind w:firstLine="482"/>
        <w:rPr>
          <w:b/>
        </w:rPr>
      </w:pPr>
      <w:r>
        <w:rPr>
          <w:rFonts w:hint="eastAsia"/>
          <w:b/>
        </w:rPr>
        <w:t>界面布局要求与说明：</w:t>
      </w:r>
    </w:p>
    <w:p w14:paraId="74142F4C">
      <w:pPr>
        <w:pStyle w:val="44"/>
        <w:spacing w:before="120" w:after="120"/>
        <w:ind w:firstLine="482"/>
        <w:rPr>
          <w:bCs/>
        </w:rPr>
      </w:pPr>
      <w:r>
        <w:rPr>
          <w:rFonts w:hint="eastAsia"/>
          <w:b/>
        </w:rPr>
        <w:t>数据整合和可视化：</w:t>
      </w:r>
      <w:r>
        <w:rPr>
          <w:rFonts w:hint="eastAsia"/>
          <w:bCs/>
        </w:rPr>
        <w:t>界面排版清晰，功能列表逻辑，能够利用图表和仪表盘等形式，直观地显示各项指标，支持“钻取式查询”，实现对指标的逐层细化和深化分析。</w:t>
      </w:r>
    </w:p>
    <w:p w14:paraId="0617FCE7">
      <w:pPr>
        <w:pStyle w:val="44"/>
        <w:spacing w:before="120" w:after="120"/>
        <w:ind w:firstLine="482"/>
        <w:rPr>
          <w:b/>
          <w:bCs/>
        </w:rPr>
      </w:pPr>
      <w:r>
        <w:rPr>
          <w:rFonts w:hint="eastAsia"/>
          <w:b/>
          <w:bCs/>
        </w:rPr>
        <w:t>布局应当包括：</w:t>
      </w:r>
    </w:p>
    <w:p w14:paraId="1FE2E35E">
      <w:pPr>
        <w:numPr>
          <w:ilvl w:val="0"/>
          <w:numId w:val="20"/>
        </w:numPr>
        <w:rPr>
          <w:szCs w:val="28"/>
        </w:rPr>
      </w:pPr>
      <w:r>
        <w:rPr>
          <w:b/>
          <w:bCs/>
          <w:sz w:val="24"/>
          <w:szCs w:val="28"/>
        </w:rPr>
        <w:t>组合选择区域</w:t>
      </w:r>
      <w:r>
        <w:rPr>
          <w:rFonts w:hint="eastAsia"/>
          <w:b/>
          <w:bCs/>
          <w:szCs w:val="28"/>
        </w:rPr>
        <w:t>：</w:t>
      </w:r>
      <w:r>
        <w:rPr>
          <w:sz w:val="24"/>
          <w:szCs w:val="28"/>
        </w:rPr>
        <w:t>允许用户选择组合进行分析。</w:t>
      </w:r>
    </w:p>
    <w:p w14:paraId="36459D50">
      <w:pPr>
        <w:numPr>
          <w:ilvl w:val="0"/>
          <w:numId w:val="20"/>
        </w:numPr>
        <w:rPr>
          <w:sz w:val="24"/>
          <w:szCs w:val="28"/>
        </w:rPr>
      </w:pPr>
      <w:r>
        <w:rPr>
          <w:b/>
          <w:bCs/>
          <w:sz w:val="24"/>
          <w:szCs w:val="28"/>
        </w:rPr>
        <w:t>关键信息摘要</w:t>
      </w:r>
      <w:r>
        <w:rPr>
          <w:sz w:val="24"/>
          <w:szCs w:val="28"/>
        </w:rPr>
        <w:t>：在界面中央显眼位置展示组合的关键信息摘要，如总资产、收益率、风险指标等。</w:t>
      </w:r>
    </w:p>
    <w:p w14:paraId="7CA686E5">
      <w:pPr>
        <w:numPr>
          <w:ilvl w:val="0"/>
          <w:numId w:val="20"/>
        </w:numPr>
        <w:rPr>
          <w:sz w:val="24"/>
          <w:szCs w:val="28"/>
        </w:rPr>
      </w:pPr>
      <w:r>
        <w:rPr>
          <w:b/>
          <w:bCs/>
          <w:sz w:val="24"/>
          <w:szCs w:val="28"/>
        </w:rPr>
        <w:t>绩效指标仪表板</w:t>
      </w:r>
      <w:r>
        <w:rPr>
          <w:sz w:val="24"/>
          <w:szCs w:val="28"/>
        </w:rPr>
        <w:t>：使用图表（如柱状图、折线图）展示组合的绩效指标，如总回报、年化收益率等。</w:t>
      </w:r>
    </w:p>
    <w:p w14:paraId="08E164B4">
      <w:pPr>
        <w:numPr>
          <w:ilvl w:val="0"/>
          <w:numId w:val="20"/>
        </w:numPr>
        <w:rPr>
          <w:sz w:val="24"/>
          <w:szCs w:val="28"/>
        </w:rPr>
      </w:pPr>
      <w:r>
        <w:rPr>
          <w:b/>
          <w:bCs/>
          <w:sz w:val="24"/>
          <w:szCs w:val="28"/>
        </w:rPr>
        <w:t>持仓分析区域</w:t>
      </w:r>
      <w:r>
        <w:rPr>
          <w:sz w:val="24"/>
          <w:szCs w:val="28"/>
        </w:rPr>
        <w:t>：展示组合的持仓分布，可以使用饼图、条形图等可视化工具。</w:t>
      </w:r>
    </w:p>
    <w:p w14:paraId="4E123621">
      <w:pPr>
        <w:numPr>
          <w:ilvl w:val="0"/>
          <w:numId w:val="20"/>
        </w:numPr>
        <w:rPr>
          <w:sz w:val="24"/>
          <w:szCs w:val="28"/>
        </w:rPr>
      </w:pPr>
      <w:r>
        <w:rPr>
          <w:b/>
          <w:bCs/>
          <w:sz w:val="24"/>
          <w:szCs w:val="28"/>
        </w:rPr>
        <w:t>交互式图表</w:t>
      </w:r>
      <w:r>
        <w:rPr>
          <w:sz w:val="24"/>
          <w:szCs w:val="28"/>
        </w:rPr>
        <w:t>：提供可交互的图表，允许用户通过点击、拖动等操作来深入分析数据。</w:t>
      </w:r>
    </w:p>
    <w:p w14:paraId="24B0A4D6">
      <w:pPr>
        <w:numPr>
          <w:ilvl w:val="0"/>
          <w:numId w:val="20"/>
        </w:numPr>
        <w:rPr>
          <w:sz w:val="24"/>
          <w:szCs w:val="28"/>
        </w:rPr>
      </w:pPr>
      <w:r>
        <w:rPr>
          <w:b/>
          <w:bCs/>
          <w:sz w:val="24"/>
          <w:szCs w:val="28"/>
        </w:rPr>
        <w:t>数据过滤和排序</w:t>
      </w:r>
      <w:r>
        <w:rPr>
          <w:sz w:val="24"/>
          <w:szCs w:val="28"/>
        </w:rPr>
        <w:t>：提供工具栏或侧边栏，允许用户根据需要过滤和排序数据。</w:t>
      </w:r>
    </w:p>
    <w:p w14:paraId="711057EC">
      <w:pPr>
        <w:numPr>
          <w:ilvl w:val="0"/>
          <w:numId w:val="20"/>
        </w:numPr>
      </w:pPr>
      <w:r>
        <w:rPr>
          <w:rFonts w:hint="eastAsia"/>
          <w:b/>
          <w:bCs/>
          <w:sz w:val="24"/>
          <w:szCs w:val="28"/>
          <w:lang w:val="en-US" w:eastAsia="zh-CN"/>
        </w:rPr>
        <w:t>数据底稿导出</w:t>
      </w:r>
      <w:r>
        <w:rPr>
          <w:sz w:val="24"/>
          <w:szCs w:val="28"/>
        </w:rPr>
        <w:t>：提供生成</w:t>
      </w:r>
      <w:r>
        <w:rPr>
          <w:rFonts w:hint="eastAsia"/>
          <w:sz w:val="24"/>
          <w:szCs w:val="28"/>
          <w:lang w:val="en-US" w:eastAsia="zh-CN"/>
        </w:rPr>
        <w:t>数据底稿的按钮。</w:t>
      </w:r>
    </w:p>
    <w:p w14:paraId="09682116">
      <w:pPr>
        <w:pStyle w:val="6"/>
      </w:pPr>
      <w:r>
        <w:rPr>
          <w:rFonts w:hint="eastAsia"/>
        </w:rPr>
        <w:t>输入输出说明</w:t>
      </w:r>
    </w:p>
    <w:p w14:paraId="480BFF47">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2590B207">
        <w:trPr>
          <w:tblHeader/>
          <w:jc w:val="center"/>
        </w:trPr>
        <w:tc>
          <w:tcPr>
            <w:tcW w:w="413" w:type="pct"/>
            <w:shd w:val="clear" w:color="auto" w:fill="E7E6E6" w:themeFill="background2"/>
          </w:tcPr>
          <w:p w14:paraId="655034BE">
            <w:pPr>
              <w:jc w:val="center"/>
              <w:rPr>
                <w:b/>
              </w:rPr>
            </w:pPr>
            <w:r>
              <w:rPr>
                <w:rFonts w:hint="eastAsia"/>
                <w:b/>
              </w:rPr>
              <w:t>序号</w:t>
            </w:r>
          </w:p>
        </w:tc>
        <w:tc>
          <w:tcPr>
            <w:tcW w:w="1084" w:type="pct"/>
            <w:shd w:val="clear" w:color="auto" w:fill="E7E6E6" w:themeFill="background2"/>
          </w:tcPr>
          <w:p w14:paraId="098068A8">
            <w:pPr>
              <w:jc w:val="center"/>
              <w:rPr>
                <w:b/>
              </w:rPr>
            </w:pPr>
            <w:r>
              <w:rPr>
                <w:rFonts w:hint="eastAsia"/>
                <w:b/>
              </w:rPr>
              <w:t>输入项</w:t>
            </w:r>
          </w:p>
        </w:tc>
        <w:tc>
          <w:tcPr>
            <w:tcW w:w="918" w:type="pct"/>
            <w:shd w:val="clear" w:color="auto" w:fill="E7E6E6" w:themeFill="background2"/>
          </w:tcPr>
          <w:p w14:paraId="241FCEE2">
            <w:pPr>
              <w:jc w:val="center"/>
              <w:rPr>
                <w:b/>
              </w:rPr>
            </w:pPr>
            <w:r>
              <w:rPr>
                <w:rFonts w:hint="eastAsia"/>
                <w:b/>
              </w:rPr>
              <w:t>取值范围</w:t>
            </w:r>
          </w:p>
        </w:tc>
        <w:tc>
          <w:tcPr>
            <w:tcW w:w="2086" w:type="pct"/>
            <w:shd w:val="clear" w:color="auto" w:fill="E7E6E6" w:themeFill="background2"/>
          </w:tcPr>
          <w:p w14:paraId="233390C2">
            <w:pPr>
              <w:jc w:val="center"/>
              <w:rPr>
                <w:b/>
              </w:rPr>
            </w:pPr>
            <w:r>
              <w:rPr>
                <w:rFonts w:hint="eastAsia"/>
                <w:b/>
              </w:rPr>
              <w:t>规则说明</w:t>
            </w:r>
          </w:p>
        </w:tc>
        <w:tc>
          <w:tcPr>
            <w:tcW w:w="497" w:type="pct"/>
            <w:shd w:val="clear" w:color="auto" w:fill="E7E6E6" w:themeFill="background2"/>
          </w:tcPr>
          <w:p w14:paraId="5A55F0D4">
            <w:pPr>
              <w:jc w:val="center"/>
              <w:rPr>
                <w:b/>
              </w:rPr>
            </w:pPr>
            <w:r>
              <w:rPr>
                <w:rFonts w:hint="eastAsia"/>
                <w:b/>
              </w:rPr>
              <w:t>必输</w:t>
            </w:r>
          </w:p>
        </w:tc>
      </w:tr>
      <w:tr w14:paraId="1E2CE4CD">
        <w:trPr>
          <w:jc w:val="center"/>
        </w:trPr>
        <w:tc>
          <w:tcPr>
            <w:tcW w:w="413" w:type="pct"/>
          </w:tcPr>
          <w:p w14:paraId="6FC90D24">
            <w:pPr>
              <w:pStyle w:val="34"/>
              <w:numPr>
                <w:ilvl w:val="0"/>
                <w:numId w:val="21"/>
              </w:numPr>
              <w:ind w:firstLineChars="0"/>
            </w:pPr>
          </w:p>
        </w:tc>
        <w:tc>
          <w:tcPr>
            <w:tcW w:w="1084" w:type="pct"/>
          </w:tcPr>
          <w:p w14:paraId="28C1D9EA">
            <w:r>
              <w:rPr>
                <w:rFonts w:hint="eastAsia"/>
              </w:rPr>
              <w:t>组合基本信息</w:t>
            </w:r>
          </w:p>
        </w:tc>
        <w:tc>
          <w:tcPr>
            <w:tcW w:w="918" w:type="pct"/>
          </w:tcPr>
          <w:p w14:paraId="2AA06B17"/>
        </w:tc>
        <w:tc>
          <w:tcPr>
            <w:tcW w:w="2086" w:type="pct"/>
          </w:tcPr>
          <w:p w14:paraId="4A98D576">
            <w:r>
              <w:rPr>
                <w:rFonts w:hint="eastAsia"/>
              </w:rPr>
              <w:t>通过数据中台获取</w:t>
            </w:r>
          </w:p>
        </w:tc>
        <w:tc>
          <w:tcPr>
            <w:tcW w:w="497" w:type="pct"/>
          </w:tcPr>
          <w:p w14:paraId="372AC165">
            <w:pPr>
              <w:jc w:val="center"/>
            </w:pPr>
            <w:r>
              <w:rPr>
                <w:rFonts w:hint="eastAsia" w:ascii="宋体" w:hAnsi="宋体"/>
                <w:iCs/>
              </w:rPr>
              <w:t>√</w:t>
            </w:r>
          </w:p>
        </w:tc>
      </w:tr>
      <w:tr w14:paraId="5063858A">
        <w:trPr>
          <w:jc w:val="center"/>
        </w:trPr>
        <w:tc>
          <w:tcPr>
            <w:tcW w:w="413" w:type="pct"/>
          </w:tcPr>
          <w:p w14:paraId="1A7809CE">
            <w:pPr>
              <w:pStyle w:val="34"/>
              <w:numPr>
                <w:ilvl w:val="0"/>
                <w:numId w:val="21"/>
              </w:numPr>
              <w:ind w:firstLineChars="0"/>
            </w:pPr>
          </w:p>
        </w:tc>
        <w:tc>
          <w:tcPr>
            <w:tcW w:w="1084" w:type="pct"/>
          </w:tcPr>
          <w:p w14:paraId="7E637428">
            <w:pPr>
              <w:rPr>
                <w:iCs/>
              </w:rPr>
            </w:pPr>
            <w:r>
              <w:rPr>
                <w:rFonts w:hint="eastAsia"/>
                <w:iCs/>
              </w:rPr>
              <w:t>需要分析的组合</w:t>
            </w:r>
          </w:p>
        </w:tc>
        <w:tc>
          <w:tcPr>
            <w:tcW w:w="918" w:type="pct"/>
          </w:tcPr>
          <w:p w14:paraId="2FF5A7AE">
            <w:pPr>
              <w:rPr>
                <w:i/>
                <w:color w:val="0000FF"/>
              </w:rPr>
            </w:pPr>
          </w:p>
        </w:tc>
        <w:tc>
          <w:tcPr>
            <w:tcW w:w="2086" w:type="pct"/>
          </w:tcPr>
          <w:p w14:paraId="1C5B0CDC">
            <w:r>
              <w:rPr>
                <w:rFonts w:hint="eastAsia"/>
              </w:rPr>
              <w:t>通过筛选栏控制用户输入</w:t>
            </w:r>
          </w:p>
        </w:tc>
        <w:tc>
          <w:tcPr>
            <w:tcW w:w="497" w:type="pct"/>
          </w:tcPr>
          <w:p w14:paraId="49EE6B8D">
            <w:pPr>
              <w:jc w:val="center"/>
              <w:rPr>
                <w:iCs/>
              </w:rPr>
            </w:pPr>
            <w:r>
              <w:rPr>
                <w:rFonts w:hint="eastAsia" w:ascii="宋体" w:hAnsi="宋体"/>
                <w:iCs/>
              </w:rPr>
              <w:t>√</w:t>
            </w:r>
          </w:p>
        </w:tc>
      </w:tr>
    </w:tbl>
    <w:p w14:paraId="669115B3"/>
    <w:p w14:paraId="2CB2FCF1">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3"/>
        <w:gridCol w:w="1776"/>
        <w:gridCol w:w="4040"/>
      </w:tblGrid>
      <w:tr w14:paraId="153D86B1">
        <w:trPr>
          <w:tblHeader/>
          <w:jc w:val="center"/>
        </w:trPr>
        <w:tc>
          <w:tcPr>
            <w:tcW w:w="413" w:type="pct"/>
            <w:shd w:val="clear" w:color="auto" w:fill="E7E6E6" w:themeFill="background2"/>
          </w:tcPr>
          <w:p w14:paraId="7362E519">
            <w:pPr>
              <w:jc w:val="center"/>
              <w:rPr>
                <w:b/>
              </w:rPr>
            </w:pPr>
            <w:r>
              <w:rPr>
                <w:rFonts w:hint="eastAsia"/>
                <w:b/>
              </w:rPr>
              <w:t>序号</w:t>
            </w:r>
          </w:p>
        </w:tc>
        <w:tc>
          <w:tcPr>
            <w:tcW w:w="1251" w:type="pct"/>
            <w:shd w:val="clear" w:color="auto" w:fill="E7E6E6" w:themeFill="background2"/>
          </w:tcPr>
          <w:p w14:paraId="0433E786">
            <w:pPr>
              <w:jc w:val="center"/>
              <w:rPr>
                <w:b/>
              </w:rPr>
            </w:pPr>
            <w:r>
              <w:rPr>
                <w:rFonts w:hint="eastAsia"/>
                <w:b/>
              </w:rPr>
              <w:t>输出项</w:t>
            </w:r>
          </w:p>
        </w:tc>
        <w:tc>
          <w:tcPr>
            <w:tcW w:w="1018" w:type="pct"/>
            <w:shd w:val="clear" w:color="auto" w:fill="E7E6E6" w:themeFill="background2"/>
          </w:tcPr>
          <w:p w14:paraId="2559A7B7">
            <w:pPr>
              <w:jc w:val="center"/>
              <w:rPr>
                <w:b/>
              </w:rPr>
            </w:pPr>
            <w:r>
              <w:rPr>
                <w:rFonts w:hint="eastAsia"/>
                <w:b/>
              </w:rPr>
              <w:t>取值范围</w:t>
            </w:r>
          </w:p>
        </w:tc>
        <w:tc>
          <w:tcPr>
            <w:tcW w:w="2315" w:type="pct"/>
            <w:shd w:val="clear" w:color="auto" w:fill="E7E6E6" w:themeFill="background2"/>
          </w:tcPr>
          <w:p w14:paraId="310512EC">
            <w:pPr>
              <w:jc w:val="center"/>
              <w:rPr>
                <w:b/>
              </w:rPr>
            </w:pPr>
            <w:r>
              <w:rPr>
                <w:rFonts w:hint="eastAsia"/>
                <w:b/>
              </w:rPr>
              <w:t>规则说明</w:t>
            </w:r>
          </w:p>
        </w:tc>
      </w:tr>
      <w:tr w14:paraId="092714FE">
        <w:trPr>
          <w:jc w:val="center"/>
        </w:trPr>
        <w:tc>
          <w:tcPr>
            <w:tcW w:w="413" w:type="pct"/>
          </w:tcPr>
          <w:p w14:paraId="79659480">
            <w:pPr>
              <w:pStyle w:val="34"/>
              <w:numPr>
                <w:ilvl w:val="0"/>
                <w:numId w:val="22"/>
              </w:numPr>
              <w:ind w:firstLineChars="0"/>
            </w:pPr>
          </w:p>
        </w:tc>
        <w:tc>
          <w:tcPr>
            <w:tcW w:w="1251" w:type="pct"/>
          </w:tcPr>
          <w:p w14:paraId="4FAD18D8">
            <w:pPr>
              <w:rPr>
                <w:i/>
              </w:rPr>
            </w:pPr>
            <w:r>
              <w:rPr>
                <w:rFonts w:hint="eastAsia"/>
              </w:rPr>
              <w:t>组合关键信息</w:t>
            </w:r>
          </w:p>
        </w:tc>
        <w:tc>
          <w:tcPr>
            <w:tcW w:w="1018" w:type="pct"/>
          </w:tcPr>
          <w:p w14:paraId="211B71CC"/>
        </w:tc>
        <w:tc>
          <w:tcPr>
            <w:tcW w:w="2315" w:type="pct"/>
          </w:tcPr>
          <w:p w14:paraId="09F72561">
            <w:r>
              <w:rPr>
                <w:rFonts w:hint="eastAsia"/>
              </w:rPr>
              <w:t>以图表形式可视化展现</w:t>
            </w:r>
          </w:p>
        </w:tc>
      </w:tr>
      <w:tr w14:paraId="02FC78F5">
        <w:trPr>
          <w:jc w:val="center"/>
        </w:trPr>
        <w:tc>
          <w:tcPr>
            <w:tcW w:w="413" w:type="pct"/>
          </w:tcPr>
          <w:p w14:paraId="488CB255">
            <w:pPr>
              <w:pStyle w:val="34"/>
              <w:numPr>
                <w:ilvl w:val="0"/>
                <w:numId w:val="22"/>
              </w:numPr>
              <w:ind w:firstLineChars="0"/>
            </w:pPr>
          </w:p>
        </w:tc>
        <w:tc>
          <w:tcPr>
            <w:tcW w:w="1251" w:type="pct"/>
          </w:tcPr>
          <w:p w14:paraId="7E85C9BA">
            <w:r>
              <w:rPr>
                <w:rFonts w:hint="eastAsia"/>
              </w:rPr>
              <w:t>组合绩效指标</w:t>
            </w:r>
          </w:p>
        </w:tc>
        <w:tc>
          <w:tcPr>
            <w:tcW w:w="1018" w:type="pct"/>
          </w:tcPr>
          <w:p w14:paraId="4545FCE8"/>
        </w:tc>
        <w:tc>
          <w:tcPr>
            <w:tcW w:w="2315" w:type="pct"/>
          </w:tcPr>
          <w:p w14:paraId="27FDCAC6">
            <w:r>
              <w:rPr>
                <w:rFonts w:hint="eastAsia"/>
              </w:rPr>
              <w:t>以图表形式可视化展现</w:t>
            </w:r>
          </w:p>
        </w:tc>
      </w:tr>
      <w:tr w14:paraId="39F903AC">
        <w:trPr>
          <w:jc w:val="center"/>
        </w:trPr>
        <w:tc>
          <w:tcPr>
            <w:tcW w:w="413" w:type="pct"/>
          </w:tcPr>
          <w:p w14:paraId="189526AA">
            <w:pPr>
              <w:pStyle w:val="34"/>
              <w:numPr>
                <w:ilvl w:val="0"/>
                <w:numId w:val="22"/>
              </w:numPr>
              <w:ind w:firstLineChars="0"/>
            </w:pPr>
          </w:p>
        </w:tc>
        <w:tc>
          <w:tcPr>
            <w:tcW w:w="1251" w:type="pct"/>
          </w:tcPr>
          <w:p w14:paraId="7BAA3117">
            <w:r>
              <w:rPr>
                <w:rFonts w:hint="eastAsia"/>
              </w:rPr>
              <w:t>组合持仓及收益分析</w:t>
            </w:r>
          </w:p>
        </w:tc>
        <w:tc>
          <w:tcPr>
            <w:tcW w:w="1018" w:type="pct"/>
          </w:tcPr>
          <w:p w14:paraId="1896E2A5"/>
        </w:tc>
        <w:tc>
          <w:tcPr>
            <w:tcW w:w="2315" w:type="pct"/>
          </w:tcPr>
          <w:p w14:paraId="44E54EEF">
            <w:r>
              <w:rPr>
                <w:rFonts w:hint="eastAsia"/>
              </w:rPr>
              <w:t>以图表形式可视化展现</w:t>
            </w:r>
          </w:p>
        </w:tc>
      </w:tr>
      <w:tr w14:paraId="216861ED">
        <w:trPr>
          <w:trHeight w:val="24" w:hRule="atLeast"/>
          <w:jc w:val="center"/>
        </w:trPr>
        <w:tc>
          <w:tcPr>
            <w:tcW w:w="413" w:type="pct"/>
          </w:tcPr>
          <w:p w14:paraId="5BE11A71">
            <w:pPr>
              <w:pStyle w:val="34"/>
              <w:numPr>
                <w:ilvl w:val="0"/>
                <w:numId w:val="22"/>
              </w:numPr>
              <w:ind w:firstLineChars="0"/>
            </w:pPr>
          </w:p>
        </w:tc>
        <w:tc>
          <w:tcPr>
            <w:tcW w:w="1251" w:type="pct"/>
          </w:tcPr>
          <w:p w14:paraId="524FB70A">
            <w:r>
              <w:rPr>
                <w:rFonts w:hint="eastAsia"/>
              </w:rPr>
              <w:t>组合配置明细及分布</w:t>
            </w:r>
          </w:p>
        </w:tc>
        <w:tc>
          <w:tcPr>
            <w:tcW w:w="1018" w:type="pct"/>
          </w:tcPr>
          <w:p w14:paraId="12088088"/>
        </w:tc>
        <w:tc>
          <w:tcPr>
            <w:tcW w:w="2315" w:type="pct"/>
          </w:tcPr>
          <w:p w14:paraId="13B080BA">
            <w:r>
              <w:rPr>
                <w:rFonts w:hint="eastAsia"/>
              </w:rPr>
              <w:t>以图表形式可视化展现</w:t>
            </w:r>
          </w:p>
        </w:tc>
      </w:tr>
      <w:tr w14:paraId="573EEB13">
        <w:trPr>
          <w:jc w:val="center"/>
        </w:trPr>
        <w:tc>
          <w:tcPr>
            <w:tcW w:w="413" w:type="pct"/>
          </w:tcPr>
          <w:p w14:paraId="11E29BEF">
            <w:pPr>
              <w:pStyle w:val="34"/>
              <w:numPr>
                <w:ilvl w:val="0"/>
                <w:numId w:val="22"/>
              </w:numPr>
              <w:ind w:firstLineChars="0"/>
            </w:pPr>
          </w:p>
        </w:tc>
        <w:tc>
          <w:tcPr>
            <w:tcW w:w="1251" w:type="pct"/>
          </w:tcPr>
          <w:p w14:paraId="7B52E013">
            <w:r>
              <w:rPr>
                <w:rFonts w:hint="eastAsia"/>
              </w:rPr>
              <w:t>组合收益归因</w:t>
            </w:r>
          </w:p>
        </w:tc>
        <w:tc>
          <w:tcPr>
            <w:tcW w:w="1018" w:type="pct"/>
          </w:tcPr>
          <w:p w14:paraId="51613792"/>
        </w:tc>
        <w:tc>
          <w:tcPr>
            <w:tcW w:w="2315" w:type="pct"/>
          </w:tcPr>
          <w:p w14:paraId="2FB1E264">
            <w:r>
              <w:rPr>
                <w:rFonts w:hint="eastAsia"/>
              </w:rPr>
              <w:t>以图表形式可视化展现</w:t>
            </w:r>
          </w:p>
        </w:tc>
      </w:tr>
    </w:tbl>
    <w:p w14:paraId="48F3F2A6">
      <w:pPr>
        <w:pStyle w:val="6"/>
      </w:pPr>
      <w:r>
        <w:rPr>
          <w:rFonts w:hint="eastAsia"/>
        </w:rPr>
        <w:t>业务凭证</w:t>
      </w:r>
    </w:p>
    <w:p w14:paraId="040FECE4">
      <w:r>
        <w:rPr>
          <w:rFonts w:hint="eastAsia"/>
        </w:rPr>
        <w:t xml:space="preserve">  不涉及。</w:t>
      </w:r>
    </w:p>
    <w:p w14:paraId="785D7CAC">
      <w:pPr>
        <w:pStyle w:val="5"/>
      </w:pPr>
      <w:r>
        <w:rPr>
          <w:rFonts w:hint="eastAsia"/>
        </w:rPr>
        <w:t>业务规则说明</w:t>
      </w:r>
    </w:p>
    <w:p w14:paraId="7E7D865E">
      <w:pPr>
        <w:pStyle w:val="6"/>
      </w:pPr>
      <w:r>
        <w:rPr>
          <w:rFonts w:hint="eastAsia"/>
        </w:rPr>
        <w:t>业务处理规则</w:t>
      </w:r>
    </w:p>
    <w:p w14:paraId="28259B3E">
      <w:pPr>
        <w:pStyle w:val="44"/>
        <w:spacing w:before="120" w:after="120"/>
        <w:ind w:firstLine="480"/>
      </w:pPr>
      <w:r>
        <w:rPr>
          <w:rFonts w:hint="eastAsia"/>
        </w:rPr>
        <w:t>1.组合总结界面根据权限不同，显示对应能够查看的组合。</w:t>
      </w:r>
    </w:p>
    <w:p w14:paraId="30333704">
      <w:pPr>
        <w:pStyle w:val="44"/>
        <w:spacing w:before="120" w:after="120"/>
        <w:ind w:firstLine="480"/>
      </w:pPr>
      <w:r>
        <w:rPr>
          <w:rFonts w:hint="eastAsia"/>
          <w:lang w:val="en-US" w:eastAsia="zh-CN"/>
        </w:rPr>
        <w:t>2</w:t>
      </w:r>
      <w:r>
        <w:rPr>
          <w:rFonts w:hint="eastAsia"/>
        </w:rPr>
        <w:t>.模块后端会按照组合计算出所有指标参数，根据用户的筛选项再进行分类汇总。</w:t>
      </w:r>
    </w:p>
    <w:p w14:paraId="1ABCFBAD">
      <w:pPr>
        <w:pStyle w:val="44"/>
        <w:spacing w:before="120" w:after="120"/>
        <w:ind w:firstLine="480"/>
      </w:pPr>
      <w:r>
        <w:rPr>
          <w:rFonts w:hint="eastAsia"/>
          <w:lang w:val="en-US" w:eastAsia="zh-CN"/>
        </w:rPr>
        <w:t>3</w:t>
      </w:r>
      <w:r>
        <w:rPr>
          <w:rFonts w:hint="eastAsia"/>
        </w:rPr>
        <w:t>.组合总结页面数据根据选定组合类型数量进行实时计算，计算结果可不保存。</w:t>
      </w:r>
    </w:p>
    <w:p w14:paraId="5E7530DF">
      <w:pPr>
        <w:pStyle w:val="6"/>
      </w:pPr>
      <w:r>
        <w:rPr>
          <w:rFonts w:hint="eastAsia"/>
        </w:rPr>
        <w:t>授权复核场景与规则</w:t>
      </w:r>
    </w:p>
    <w:p w14:paraId="46972A9C">
      <w:pPr>
        <w:ind w:firstLine="420"/>
      </w:pPr>
      <w:r>
        <w:rPr>
          <w:rFonts w:hint="eastAsia"/>
        </w:rPr>
        <w:t>不涉及。</w:t>
      </w:r>
    </w:p>
    <w:p w14:paraId="36FAD452">
      <w:pPr>
        <w:pStyle w:val="6"/>
      </w:pPr>
      <w:r>
        <w:rPr>
          <w:rFonts w:hint="eastAsia"/>
        </w:rPr>
        <w:t>收费场景与规则</w:t>
      </w:r>
    </w:p>
    <w:p w14:paraId="0C62A699">
      <w:pPr>
        <w:ind w:firstLine="420"/>
      </w:pPr>
      <w:r>
        <w:rPr>
          <w:rFonts w:hint="eastAsia"/>
        </w:rPr>
        <w:t>不涉及。</w:t>
      </w:r>
    </w:p>
    <w:p w14:paraId="47724D44">
      <w:pPr>
        <w:pStyle w:val="6"/>
      </w:pPr>
      <w:r>
        <w:rPr>
          <w:rFonts w:hint="eastAsia"/>
        </w:rPr>
        <w:t>核算场景与规则</w:t>
      </w:r>
    </w:p>
    <w:p w14:paraId="00266F6C">
      <w:pPr>
        <w:ind w:firstLine="420"/>
      </w:pPr>
      <w:r>
        <w:rPr>
          <w:rFonts w:hint="eastAsia"/>
        </w:rPr>
        <w:t>不涉及。</w:t>
      </w:r>
    </w:p>
    <w:p w14:paraId="528D48B9">
      <w:pPr>
        <w:pStyle w:val="5"/>
      </w:pPr>
      <w:r>
        <w:rPr>
          <w:rFonts w:hint="eastAsia"/>
        </w:rPr>
        <w:t>后续业务处理</w:t>
      </w:r>
    </w:p>
    <w:p w14:paraId="0FB5C1DF">
      <w:pPr>
        <w:ind w:firstLine="420"/>
      </w:pPr>
      <w:r>
        <w:rPr>
          <w:rFonts w:hint="eastAsia"/>
        </w:rPr>
        <w:t>不涉及。</w:t>
      </w:r>
    </w:p>
    <w:p w14:paraId="4B695326">
      <w:pPr>
        <w:pStyle w:val="5"/>
      </w:pPr>
      <w:r>
        <w:rPr>
          <w:rFonts w:hint="eastAsia"/>
        </w:rPr>
        <w:t>异常及备注处理</w:t>
      </w:r>
    </w:p>
    <w:p w14:paraId="33F26550">
      <w:pPr>
        <w:pStyle w:val="44"/>
        <w:spacing w:before="120" w:after="120"/>
        <w:ind w:firstLine="480"/>
        <w:rPr>
          <w:szCs w:val="24"/>
        </w:rPr>
      </w:pPr>
      <w:r>
        <w:rPr>
          <w:rFonts w:hint="eastAsia"/>
          <w:szCs w:val="24"/>
        </w:rPr>
        <w:t>1.组合总结功能仅包含数据及图表展示，不涉及数据输入验证的异常处理。</w:t>
      </w:r>
    </w:p>
    <w:p w14:paraId="2A23C168">
      <w:pPr>
        <w:pStyle w:val="34"/>
        <w:ind w:firstLine="480"/>
      </w:pPr>
      <w:r>
        <w:rPr>
          <w:rFonts w:hint="eastAsia"/>
          <w:sz w:val="24"/>
          <w:szCs w:val="24"/>
        </w:rPr>
        <w:t>2.</w:t>
      </w:r>
      <w:r>
        <w:rPr>
          <w:sz w:val="24"/>
          <w:szCs w:val="24"/>
        </w:rPr>
        <w:t>应用</w:t>
      </w:r>
      <w:r>
        <w:rPr>
          <w:rFonts w:hint="eastAsia"/>
          <w:sz w:val="24"/>
          <w:szCs w:val="24"/>
        </w:rPr>
        <w:t>调取数据</w:t>
      </w:r>
      <w:r>
        <w:rPr>
          <w:sz w:val="24"/>
          <w:szCs w:val="24"/>
        </w:rPr>
        <w:t>出错时，需提示易于理解的信息和后续操作步骤，不要直接提示技术类的错误信息</w:t>
      </w:r>
      <w:r>
        <w:rPr>
          <w:rFonts w:hint="eastAsia"/>
          <w:sz w:val="24"/>
          <w:szCs w:val="24"/>
        </w:rPr>
        <w:t>。并将异常信息记录到日志文件中，以便开发人员分析和调试。</w:t>
      </w:r>
    </w:p>
    <w:p w14:paraId="569930D3">
      <w:pPr>
        <w:pStyle w:val="4"/>
      </w:pPr>
      <w:bookmarkStart w:id="49" w:name="_Toc184053079"/>
      <w:bookmarkStart w:id="50" w:name="_Toc181971948"/>
      <w:bookmarkStart w:id="51" w:name="_Toc7256"/>
      <w:bookmarkStart w:id="52" w:name="_Toc182934351"/>
      <w:bookmarkStart w:id="53" w:name="_Toc18099"/>
      <w:r>
        <w:rPr>
          <w:rFonts w:hint="eastAsia"/>
        </w:rPr>
        <w:t>持仓分析</w:t>
      </w:r>
      <w:bookmarkEnd w:id="49"/>
      <w:bookmarkEnd w:id="50"/>
      <w:bookmarkEnd w:id="51"/>
      <w:bookmarkEnd w:id="52"/>
      <w:bookmarkEnd w:id="53"/>
    </w:p>
    <w:p w14:paraId="6EA9574B">
      <w:pPr>
        <w:pStyle w:val="5"/>
      </w:pPr>
      <w:r>
        <w:rPr>
          <w:rFonts w:hint="eastAsia"/>
        </w:rPr>
        <w:t>功能描述</w:t>
      </w:r>
    </w:p>
    <w:p w14:paraId="6928B1B8">
      <w:pPr>
        <w:ind w:firstLine="364" w:firstLineChars="152"/>
        <w:jc w:val="left"/>
        <w:rPr>
          <w:rFonts w:hint="eastAsia" w:cs="仿宋_GB2312" w:asciiTheme="minorEastAsia" w:hAnsiTheme="minorEastAsia" w:eastAsiaTheme="minorEastAsia"/>
          <w:color w:val="000000" w:themeColor="text1"/>
          <w:kern w:val="0"/>
          <w:sz w:val="24"/>
          <w:szCs w:val="24"/>
          <w14:textFill>
            <w14:solidFill>
              <w14:schemeClr w14:val="tx1"/>
            </w14:solidFill>
          </w14:textFill>
        </w:rPr>
      </w:pPr>
      <w:r>
        <w:rPr>
          <w:rFonts w:hint="eastAsia" w:cs="仿宋_GB2312" w:asciiTheme="minorEastAsia" w:hAnsiTheme="minorEastAsia" w:eastAsiaTheme="minorEastAsia"/>
          <w:color w:val="000000" w:themeColor="text1"/>
          <w:kern w:val="0"/>
          <w:sz w:val="24"/>
          <w:szCs w:val="24"/>
          <w14:textFill>
            <w14:solidFill>
              <w14:schemeClr w14:val="tx1"/>
            </w14:solidFill>
          </w14:textFill>
        </w:rPr>
        <w:t>持仓分析模块旨在对组合持仓数据进行多维度的详细分析，需要提供全量资产的持仓明细查询、资产分布结构统计等场景，支持时点查询。</w:t>
      </w:r>
    </w:p>
    <w:p w14:paraId="25033392">
      <w:pPr>
        <w:ind w:firstLine="364" w:firstLineChars="152"/>
        <w:jc w:val="left"/>
        <w:rPr>
          <w:rFonts w:hint="eastAsia" w:cs="仿宋_GB2312" w:asciiTheme="minorEastAsia" w:hAnsiTheme="minorEastAsia" w:eastAsiaTheme="minorEastAsia"/>
          <w:color w:val="000000" w:themeColor="text1"/>
          <w:kern w:val="0"/>
          <w:sz w:val="24"/>
          <w:szCs w:val="24"/>
          <w14:textFill>
            <w14:solidFill>
              <w14:schemeClr w14:val="tx1"/>
            </w14:solidFill>
          </w14:textFill>
        </w:rPr>
      </w:pPr>
      <w:r>
        <w:rPr>
          <w:rFonts w:hint="eastAsia" w:cs="仿宋_GB2312" w:asciiTheme="minorEastAsia" w:hAnsiTheme="minorEastAsia" w:eastAsiaTheme="minorEastAsia"/>
          <w:color w:val="000000" w:themeColor="text1"/>
          <w:kern w:val="0"/>
          <w:sz w:val="24"/>
          <w:szCs w:val="24"/>
          <w14:textFill>
            <w14:solidFill>
              <w14:schemeClr w14:val="tx1"/>
            </w14:solidFill>
          </w14:textFill>
        </w:rPr>
        <w:t>持仓分析模块需要根据交易生成每日的持仓分析指标，包含仓位指标、债券指标，以上指标需要同时支持个券及</w:t>
      </w:r>
      <w:r>
        <w:rPr>
          <w:rFonts w:hint="eastAsia" w:cs="仿宋_GB2312" w:asciiTheme="minorEastAsia" w:hAnsiTheme="minorEastAsia" w:eastAsiaTheme="minorEastAsia"/>
          <w:color w:val="000000" w:themeColor="text1"/>
          <w:kern w:val="0"/>
          <w:sz w:val="24"/>
          <w:szCs w:val="24"/>
          <w:lang w:val="en-US" w:eastAsia="zh-CN"/>
          <w14:textFill>
            <w14:solidFill>
              <w14:schemeClr w14:val="tx1"/>
            </w14:solidFill>
          </w14:textFill>
        </w:rPr>
        <w:t>标签</w:t>
      </w:r>
      <w:r>
        <w:rPr>
          <w:rFonts w:hint="eastAsia" w:cs="仿宋_GB2312" w:asciiTheme="minorEastAsia" w:hAnsiTheme="minorEastAsia" w:eastAsiaTheme="minorEastAsia"/>
          <w:color w:val="000000" w:themeColor="text1"/>
          <w:kern w:val="0"/>
          <w:sz w:val="24"/>
          <w:szCs w:val="24"/>
          <w14:textFill>
            <w14:solidFill>
              <w14:schemeClr w14:val="tx1"/>
            </w14:solidFill>
          </w14:textFill>
        </w:rPr>
        <w:t>分类维度下的指标计算。</w:t>
      </w:r>
    </w:p>
    <w:p w14:paraId="6D219296">
      <w:pPr>
        <w:jc w:val="left"/>
        <w:rPr>
          <w:rFonts w:hint="eastAsia" w:cs="仿宋_GB2312" w:asciiTheme="minorEastAsia" w:hAnsiTheme="minorEastAsia" w:eastAsiaTheme="minorEastAsia"/>
          <w:color w:val="000000" w:themeColor="text1"/>
          <w:kern w:val="0"/>
          <w:sz w:val="24"/>
          <w:szCs w:val="24"/>
          <w14:textFill>
            <w14:solidFill>
              <w14:schemeClr w14:val="tx1"/>
            </w14:solidFill>
          </w14:textFill>
        </w:rPr>
      </w:pPr>
      <w:r>
        <w:rPr>
          <w:rFonts w:hint="eastAsia" w:cs="仿宋_GB2312" w:asciiTheme="minorEastAsia" w:hAnsiTheme="minorEastAsia" w:eastAsiaTheme="minorEastAsia"/>
          <w:color w:val="000000" w:themeColor="text1"/>
          <w:kern w:val="0"/>
          <w:sz w:val="24"/>
          <w:szCs w:val="24"/>
          <w14:textFill>
            <w14:solidFill>
              <w14:schemeClr w14:val="tx1"/>
            </w14:solidFill>
          </w14:textFill>
        </w:rPr>
        <w:t xml:space="preserve">   同时持仓分析模块支持将债券根据行业、期限、评级、券种、</w:t>
      </w:r>
      <w:r>
        <w:rPr>
          <w:rFonts w:hint="eastAsia" w:cs="仿宋_GB2312" w:asciiTheme="minorEastAsia" w:hAnsiTheme="minorEastAsia" w:eastAsiaTheme="minorEastAsia"/>
          <w:color w:val="000000" w:themeColor="text1"/>
          <w:kern w:val="0"/>
          <w:sz w:val="24"/>
          <w:szCs w:val="24"/>
          <w:highlight w:val="yellow"/>
          <w14:textFill>
            <w14:solidFill>
              <w14:schemeClr w14:val="tx1"/>
            </w14:solidFill>
          </w14:textFill>
        </w:rPr>
        <w:t>分行机构</w:t>
      </w:r>
      <w:r>
        <w:rPr>
          <w:rFonts w:hint="eastAsia" w:cs="仿宋_GB2312" w:asciiTheme="minorEastAsia" w:hAnsiTheme="minorEastAsia" w:eastAsiaTheme="minorEastAsia"/>
          <w:color w:val="000000" w:themeColor="text1"/>
          <w:kern w:val="0"/>
          <w:sz w:val="24"/>
          <w:szCs w:val="24"/>
          <w14:textFill>
            <w14:solidFill>
              <w14:schemeClr w14:val="tx1"/>
            </w14:solidFill>
          </w14:textFill>
        </w:rPr>
        <w:t>等维度进行下钻后的各层级数据统计。</w:t>
      </w:r>
    </w:p>
    <w:p w14:paraId="68931D2A">
      <w:pPr>
        <w:ind w:firstLine="420"/>
        <w:jc w:val="left"/>
        <w:rPr>
          <w:rFonts w:hint="default" w:cs="仿宋_GB2312" w:asciiTheme="minorEastAsia" w:hAnsiTheme="minorEastAsia" w:eastAsiaTheme="minorEastAsia"/>
          <w:color w:val="000000" w:themeColor="text1"/>
          <w:kern w:val="0"/>
          <w:sz w:val="24"/>
          <w:szCs w:val="24"/>
          <w:lang w:val="en-US" w:eastAsia="zh-CN"/>
          <w14:textFill>
            <w14:solidFill>
              <w14:schemeClr w14:val="tx1"/>
            </w14:solidFill>
          </w14:textFill>
        </w:rPr>
      </w:pPr>
      <w:r>
        <w:rPr>
          <w:rFonts w:hint="eastAsia" w:cs="仿宋_GB2312" w:asciiTheme="minorEastAsia" w:hAnsiTheme="minorEastAsia" w:eastAsiaTheme="minorEastAsia"/>
          <w:color w:val="000000" w:themeColor="text1"/>
          <w:kern w:val="0"/>
          <w:sz w:val="24"/>
          <w:szCs w:val="24"/>
          <w:highlight w:val="yellow"/>
          <w:lang w:val="en-US" w:eastAsia="zh-CN"/>
          <w14:textFill>
            <w14:solidFill>
              <w14:schemeClr w14:val="tx1"/>
            </w14:solidFill>
          </w14:textFill>
        </w:rPr>
        <w:t>接入行内债券回购质押以及借贷融出券额度信息，统计最新可用额。</w:t>
      </w:r>
    </w:p>
    <w:p w14:paraId="39C5B1E8">
      <w:pPr>
        <w:ind w:firstLine="364" w:firstLineChars="152"/>
        <w:jc w:val="left"/>
      </w:pPr>
      <w:r>
        <w:rPr>
          <w:rFonts w:hint="eastAsia" w:cs="仿宋_GB2312" w:asciiTheme="minorEastAsia" w:hAnsiTheme="minorEastAsia" w:eastAsiaTheme="minorEastAsia"/>
          <w:color w:val="000000" w:themeColor="text1"/>
          <w:kern w:val="0"/>
          <w:sz w:val="24"/>
          <w:szCs w:val="24"/>
          <w14:textFill>
            <w14:solidFill>
              <w14:schemeClr w14:val="tx1"/>
            </w14:solidFill>
          </w14:textFill>
        </w:rPr>
        <w:t>持仓分析模块应通过多维度的详细分析，提供全面的组合持仓数据展示和深入的资产结构统计。该模块涵盖持仓明细查询、关键指标的可视化展示，支持对持仓数据的时点查询。通过这一功能，交易员能够全面掌握组合的持仓情况，优化投资决策，提升风险管理和收益分析的精确度，从而实现更高效的投资管理。</w:t>
      </w:r>
    </w:p>
    <w:p w14:paraId="4EA03042">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6E242296">
        <w:trPr>
          <w:tblHeader/>
          <w:jc w:val="center"/>
        </w:trPr>
        <w:tc>
          <w:tcPr>
            <w:tcW w:w="848" w:type="pct"/>
            <w:shd w:val="clear" w:color="auto" w:fill="E7E6E6" w:themeFill="background2"/>
          </w:tcPr>
          <w:p w14:paraId="2BF20CBF">
            <w:pPr>
              <w:jc w:val="center"/>
              <w:rPr>
                <w:b/>
              </w:rPr>
            </w:pPr>
            <w:r>
              <w:rPr>
                <w:rFonts w:hint="eastAsia"/>
                <w:b/>
              </w:rPr>
              <w:t>类型</w:t>
            </w:r>
          </w:p>
        </w:tc>
        <w:tc>
          <w:tcPr>
            <w:tcW w:w="1653" w:type="pct"/>
            <w:shd w:val="clear" w:color="auto" w:fill="E7E6E6" w:themeFill="background2"/>
          </w:tcPr>
          <w:p w14:paraId="12661BA3">
            <w:pPr>
              <w:jc w:val="center"/>
              <w:rPr>
                <w:b/>
              </w:rPr>
            </w:pPr>
            <w:r>
              <w:rPr>
                <w:rFonts w:hint="eastAsia"/>
                <w:b/>
              </w:rPr>
              <w:t>用户岗位描述</w:t>
            </w:r>
          </w:p>
        </w:tc>
        <w:tc>
          <w:tcPr>
            <w:tcW w:w="2498" w:type="pct"/>
            <w:shd w:val="clear" w:color="auto" w:fill="E7E6E6" w:themeFill="background2"/>
          </w:tcPr>
          <w:p w14:paraId="2D82D730">
            <w:pPr>
              <w:jc w:val="center"/>
              <w:rPr>
                <w:b/>
              </w:rPr>
            </w:pPr>
            <w:r>
              <w:rPr>
                <w:rFonts w:hint="eastAsia"/>
                <w:b/>
              </w:rPr>
              <w:t>菜单归属或访问路径</w:t>
            </w:r>
          </w:p>
        </w:tc>
      </w:tr>
      <w:tr w14:paraId="3D8BF3DC">
        <w:trPr>
          <w:jc w:val="center"/>
        </w:trPr>
        <w:tc>
          <w:tcPr>
            <w:tcW w:w="848" w:type="pct"/>
          </w:tcPr>
          <w:p w14:paraId="529CDB2F">
            <w:r>
              <w:rPr>
                <w:rFonts w:hint="eastAsia"/>
              </w:rPr>
              <w:t>行内员工</w:t>
            </w:r>
          </w:p>
        </w:tc>
        <w:tc>
          <w:tcPr>
            <w:tcW w:w="1653" w:type="pct"/>
          </w:tcPr>
          <w:p w14:paraId="362911C0"/>
        </w:tc>
        <w:tc>
          <w:tcPr>
            <w:tcW w:w="2498" w:type="pct"/>
          </w:tcPr>
          <w:p w14:paraId="69D77624"/>
        </w:tc>
      </w:tr>
    </w:tbl>
    <w:p w14:paraId="284F4E6A">
      <w:pPr>
        <w:pStyle w:val="5"/>
      </w:pPr>
      <w:r>
        <w:rPr>
          <w:rFonts w:hint="eastAsia"/>
        </w:rPr>
        <w:t>操作步骤</w:t>
      </w:r>
    </w:p>
    <w:p w14:paraId="60CDCD1D">
      <w:pPr>
        <w:ind w:firstLine="480" w:firstLineChars="200"/>
      </w:pPr>
      <w:r>
        <w:rPr>
          <w:rFonts w:hint="eastAsia"/>
          <w:sz w:val="24"/>
        </w:rPr>
        <w:t>系统需支持交易员可以做如下相关操作：</w:t>
      </w:r>
    </w:p>
    <w:p w14:paraId="236C71C3">
      <w:pPr>
        <w:pStyle w:val="44"/>
        <w:spacing w:before="120" w:after="120"/>
        <w:ind w:left="480" w:firstLine="0" w:firstLineChars="0"/>
      </w:pPr>
      <w:r>
        <w:rPr>
          <w:rFonts w:hint="eastAsia"/>
        </w:rPr>
        <w:t>1.在系统界面中，选择需要分析的债券组合；</w:t>
      </w:r>
    </w:p>
    <w:p w14:paraId="0514BD95">
      <w:pPr>
        <w:pStyle w:val="44"/>
        <w:spacing w:before="120" w:after="120"/>
        <w:ind w:left="480" w:firstLine="0" w:firstLineChars="0"/>
      </w:pPr>
      <w:r>
        <w:rPr>
          <w:rFonts w:hint="eastAsia"/>
        </w:rPr>
        <w:t>2.查看组合的全量资产持仓明细，包括债券名称、数量、价格等信息。</w:t>
      </w:r>
    </w:p>
    <w:p w14:paraId="6A242687">
      <w:pPr>
        <w:pStyle w:val="44"/>
        <w:spacing w:before="120" w:after="120"/>
        <w:ind w:left="480" w:firstLine="0" w:firstLineChars="0"/>
      </w:pPr>
      <w:r>
        <w:rPr>
          <w:rFonts w:hint="eastAsia"/>
        </w:rPr>
        <w:t>3.查看组合的衍生指标，包括到期收益率、行权收益率，久期、凸性等。</w:t>
      </w:r>
    </w:p>
    <w:p w14:paraId="2DE880BF">
      <w:pPr>
        <w:pStyle w:val="44"/>
        <w:spacing w:before="120" w:after="120"/>
        <w:ind w:left="480" w:firstLine="0" w:firstLineChars="0"/>
      </w:pPr>
      <w:r>
        <w:rPr>
          <w:rFonts w:hint="eastAsia"/>
        </w:rPr>
        <w:t>4.根据需要选择时点查询，查看特定时间点持仓数据。</w:t>
      </w:r>
    </w:p>
    <w:p w14:paraId="089689C6">
      <w:pPr>
        <w:pStyle w:val="5"/>
      </w:pPr>
      <w:r>
        <w:rPr>
          <w:rFonts w:hint="eastAsia"/>
        </w:rPr>
        <w:t>用户界面</w:t>
      </w:r>
    </w:p>
    <w:p w14:paraId="3C5EF933">
      <w:pPr>
        <w:pStyle w:val="6"/>
      </w:pPr>
      <w:r>
        <w:rPr>
          <w:rFonts w:hint="eastAsia"/>
        </w:rPr>
        <w:t>界面示意图</w:t>
      </w:r>
    </w:p>
    <w:p w14:paraId="732C6A56">
      <w:pPr>
        <w:pStyle w:val="44"/>
        <w:spacing w:before="120" w:after="120"/>
        <w:ind w:firstLine="480"/>
      </w:pPr>
      <w:r>
        <w:drawing>
          <wp:inline distT="0" distB="0" distL="0" distR="0">
            <wp:extent cx="5400040" cy="3021330"/>
            <wp:effectExtent l="0" t="0" r="0" b="7620"/>
            <wp:docPr id="6013477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7795"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00040" cy="3021330"/>
                    </a:xfrm>
                    <a:prstGeom prst="rect">
                      <a:avLst/>
                    </a:prstGeom>
                    <a:noFill/>
                    <a:ln>
                      <a:noFill/>
                    </a:ln>
                  </pic:spPr>
                </pic:pic>
              </a:graphicData>
            </a:graphic>
          </wp:inline>
        </w:drawing>
      </w:r>
    </w:p>
    <w:p w14:paraId="30C434D1">
      <w:pPr>
        <w:pStyle w:val="44"/>
        <w:spacing w:before="120" w:after="120"/>
        <w:ind w:firstLine="480"/>
        <w:jc w:val="center"/>
      </w:pPr>
      <w:r>
        <w:rPr>
          <w:rFonts w:hint="eastAsia"/>
        </w:rPr>
        <w:t>持仓分析</w:t>
      </w:r>
    </w:p>
    <w:p w14:paraId="43E41E49">
      <w:pPr>
        <w:pStyle w:val="44"/>
        <w:spacing w:before="120" w:after="120"/>
        <w:ind w:firstLine="482"/>
        <w:rPr>
          <w:b/>
        </w:rPr>
      </w:pPr>
      <w:r>
        <w:rPr>
          <w:rFonts w:hint="eastAsia"/>
          <w:b/>
        </w:rPr>
        <w:t>界面布局要求与说明：</w:t>
      </w:r>
    </w:p>
    <w:p w14:paraId="29B95FED">
      <w:pPr>
        <w:pStyle w:val="44"/>
        <w:spacing w:before="120" w:after="120"/>
        <w:ind w:firstLine="480"/>
        <w:rPr>
          <w:bCs/>
        </w:rPr>
      </w:pPr>
      <w:bookmarkStart w:id="54" w:name="_Hlk176527779"/>
      <w:r>
        <w:rPr>
          <w:rFonts w:hint="eastAsia"/>
          <w:bCs/>
        </w:rPr>
        <w:t>持仓分析模块的界面布局应该设计得直观、易用，以便用户能够高效地进行数据分析和管理。</w:t>
      </w:r>
    </w:p>
    <w:bookmarkEnd w:id="54"/>
    <w:p w14:paraId="52C90C8A">
      <w:pPr>
        <w:pStyle w:val="44"/>
        <w:spacing w:before="120" w:after="120"/>
        <w:ind w:firstLine="480"/>
        <w:rPr>
          <w:bCs/>
        </w:rPr>
      </w:pPr>
      <w:r>
        <w:rPr>
          <w:rFonts w:hint="eastAsia"/>
          <w:bCs/>
        </w:rPr>
        <w:t>界面应当包括</w:t>
      </w:r>
    </w:p>
    <w:p w14:paraId="51C6FB16">
      <w:pPr>
        <w:numPr>
          <w:ilvl w:val="0"/>
          <w:numId w:val="23"/>
        </w:numPr>
        <w:rPr>
          <w:szCs w:val="28"/>
        </w:rPr>
      </w:pPr>
      <w:r>
        <w:rPr>
          <w:b/>
          <w:bCs/>
          <w:sz w:val="24"/>
          <w:szCs w:val="28"/>
        </w:rPr>
        <w:t>组合选择区域</w:t>
      </w:r>
      <w:r>
        <w:rPr>
          <w:rFonts w:hint="eastAsia"/>
          <w:b/>
          <w:bCs/>
          <w:szCs w:val="28"/>
        </w:rPr>
        <w:t>：</w:t>
      </w:r>
      <w:r>
        <w:rPr>
          <w:sz w:val="24"/>
          <w:szCs w:val="28"/>
        </w:rPr>
        <w:t>允许用户选择组合进行分析。</w:t>
      </w:r>
    </w:p>
    <w:p w14:paraId="39694E67">
      <w:pPr>
        <w:numPr>
          <w:ilvl w:val="0"/>
          <w:numId w:val="23"/>
        </w:numPr>
        <w:rPr>
          <w:sz w:val="24"/>
          <w:szCs w:val="28"/>
        </w:rPr>
      </w:pPr>
      <w:r>
        <w:rPr>
          <w:b/>
          <w:bCs/>
          <w:sz w:val="24"/>
          <w:szCs w:val="28"/>
        </w:rPr>
        <w:t>关键信息摘要</w:t>
      </w:r>
      <w:r>
        <w:rPr>
          <w:sz w:val="24"/>
          <w:szCs w:val="28"/>
        </w:rPr>
        <w:t>：在界面中央显眼位置展示组合的关键信息摘要，如总资产、收益率、风险指标等。</w:t>
      </w:r>
    </w:p>
    <w:p w14:paraId="5BFF667C">
      <w:pPr>
        <w:numPr>
          <w:ilvl w:val="0"/>
          <w:numId w:val="23"/>
        </w:numPr>
        <w:rPr>
          <w:sz w:val="24"/>
          <w:szCs w:val="28"/>
        </w:rPr>
      </w:pPr>
      <w:r>
        <w:rPr>
          <w:rFonts w:hint="eastAsia"/>
          <w:b/>
          <w:bCs/>
          <w:sz w:val="24"/>
          <w:szCs w:val="28"/>
        </w:rPr>
        <w:t>持仓明细查询区域</w:t>
      </w:r>
      <w:r>
        <w:rPr>
          <w:sz w:val="24"/>
          <w:szCs w:val="28"/>
        </w:rPr>
        <w:t>：展示持仓明细的表格，包括债券代码、名称、持有量、市值等信息</w:t>
      </w:r>
      <w:r>
        <w:rPr>
          <w:rFonts w:hint="eastAsia"/>
          <w:sz w:val="24"/>
          <w:szCs w:val="28"/>
        </w:rPr>
        <w:t>；</w:t>
      </w:r>
      <w:r>
        <w:rPr>
          <w:sz w:val="24"/>
          <w:szCs w:val="28"/>
        </w:rPr>
        <w:t>提供排序、过滤和搜索功能</w:t>
      </w:r>
      <w:r>
        <w:rPr>
          <w:rFonts w:hint="eastAsia"/>
          <w:sz w:val="24"/>
          <w:szCs w:val="28"/>
        </w:rPr>
        <w:t>。</w:t>
      </w:r>
    </w:p>
    <w:p w14:paraId="68D3C820">
      <w:pPr>
        <w:numPr>
          <w:ilvl w:val="0"/>
          <w:numId w:val="23"/>
        </w:numPr>
        <w:rPr>
          <w:sz w:val="24"/>
          <w:szCs w:val="28"/>
        </w:rPr>
      </w:pPr>
      <w:r>
        <w:rPr>
          <w:rFonts w:hint="eastAsia"/>
          <w:b/>
          <w:bCs/>
          <w:sz w:val="24"/>
          <w:szCs w:val="28"/>
        </w:rPr>
        <w:t>数据导出按钮</w:t>
      </w:r>
      <w:r>
        <w:rPr>
          <w:sz w:val="24"/>
          <w:szCs w:val="28"/>
        </w:rPr>
        <w:t>：</w:t>
      </w:r>
      <w:r>
        <w:rPr>
          <w:rFonts w:hint="eastAsia"/>
          <w:sz w:val="24"/>
          <w:szCs w:val="28"/>
        </w:rPr>
        <w:t>允许用户将当前查看的数据导出为CSV、Excel等格式。</w:t>
      </w:r>
    </w:p>
    <w:p w14:paraId="7BE75E54">
      <w:pPr>
        <w:numPr>
          <w:ilvl w:val="0"/>
          <w:numId w:val="23"/>
        </w:numPr>
        <w:spacing w:before="120" w:after="120"/>
      </w:pPr>
      <w:r>
        <w:rPr>
          <w:b/>
          <w:bCs/>
          <w:sz w:val="24"/>
          <w:szCs w:val="28"/>
        </w:rPr>
        <w:t>交互式元素</w:t>
      </w:r>
      <w:r>
        <w:rPr>
          <w:rFonts w:hint="eastAsia"/>
          <w:b/>
          <w:bCs/>
          <w:sz w:val="24"/>
          <w:szCs w:val="28"/>
        </w:rPr>
        <w:t>：</w:t>
      </w:r>
      <w:r>
        <w:rPr>
          <w:rFonts w:hint="eastAsia"/>
          <w:sz w:val="24"/>
          <w:szCs w:val="28"/>
        </w:rPr>
        <w:t>使用清晰易读的字体和颜色方案，以区分不同的数据和分析结果，</w:t>
      </w:r>
      <w:r>
        <w:rPr>
          <w:sz w:val="24"/>
          <w:szCs w:val="28"/>
        </w:rPr>
        <w:t>包含额外的分析工具、设置选项和数据过滤选项</w:t>
      </w:r>
      <w:r>
        <w:rPr>
          <w:rFonts w:hint="eastAsia"/>
          <w:sz w:val="24"/>
          <w:szCs w:val="28"/>
        </w:rPr>
        <w:t>。</w:t>
      </w:r>
    </w:p>
    <w:p w14:paraId="5DA9A107">
      <w:pPr>
        <w:pStyle w:val="6"/>
      </w:pPr>
      <w:r>
        <w:rPr>
          <w:rFonts w:hint="eastAsia"/>
        </w:rPr>
        <w:t>输入输出说明</w:t>
      </w:r>
    </w:p>
    <w:p w14:paraId="4EF916A2">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7969793E">
        <w:trPr>
          <w:tblHeader/>
          <w:jc w:val="center"/>
        </w:trPr>
        <w:tc>
          <w:tcPr>
            <w:tcW w:w="413" w:type="pct"/>
            <w:shd w:val="clear" w:color="auto" w:fill="E7E6E6" w:themeFill="background2"/>
          </w:tcPr>
          <w:p w14:paraId="110BCFEA">
            <w:pPr>
              <w:jc w:val="center"/>
              <w:rPr>
                <w:b/>
              </w:rPr>
            </w:pPr>
            <w:r>
              <w:rPr>
                <w:rFonts w:hint="eastAsia"/>
                <w:b/>
              </w:rPr>
              <w:t>序号</w:t>
            </w:r>
          </w:p>
        </w:tc>
        <w:tc>
          <w:tcPr>
            <w:tcW w:w="1084" w:type="pct"/>
            <w:shd w:val="clear" w:color="auto" w:fill="E7E6E6" w:themeFill="background2"/>
          </w:tcPr>
          <w:p w14:paraId="368D54B5">
            <w:pPr>
              <w:jc w:val="center"/>
              <w:rPr>
                <w:b/>
              </w:rPr>
            </w:pPr>
            <w:r>
              <w:rPr>
                <w:rFonts w:hint="eastAsia"/>
                <w:b/>
              </w:rPr>
              <w:t>输入项</w:t>
            </w:r>
          </w:p>
        </w:tc>
        <w:tc>
          <w:tcPr>
            <w:tcW w:w="918" w:type="pct"/>
            <w:shd w:val="clear" w:color="auto" w:fill="E7E6E6" w:themeFill="background2"/>
          </w:tcPr>
          <w:p w14:paraId="02BB1E56">
            <w:pPr>
              <w:jc w:val="center"/>
              <w:rPr>
                <w:b/>
              </w:rPr>
            </w:pPr>
            <w:r>
              <w:rPr>
                <w:rFonts w:hint="eastAsia"/>
                <w:b/>
              </w:rPr>
              <w:t>取值范围</w:t>
            </w:r>
          </w:p>
        </w:tc>
        <w:tc>
          <w:tcPr>
            <w:tcW w:w="2086" w:type="pct"/>
            <w:shd w:val="clear" w:color="auto" w:fill="E7E6E6" w:themeFill="background2"/>
          </w:tcPr>
          <w:p w14:paraId="281980B5">
            <w:pPr>
              <w:jc w:val="center"/>
              <w:rPr>
                <w:b/>
              </w:rPr>
            </w:pPr>
            <w:r>
              <w:rPr>
                <w:rFonts w:hint="eastAsia"/>
                <w:b/>
              </w:rPr>
              <w:t>规则说明</w:t>
            </w:r>
          </w:p>
        </w:tc>
        <w:tc>
          <w:tcPr>
            <w:tcW w:w="497" w:type="pct"/>
            <w:shd w:val="clear" w:color="auto" w:fill="E7E6E6" w:themeFill="background2"/>
          </w:tcPr>
          <w:p w14:paraId="788516BF">
            <w:pPr>
              <w:jc w:val="center"/>
              <w:rPr>
                <w:b/>
              </w:rPr>
            </w:pPr>
            <w:r>
              <w:rPr>
                <w:rFonts w:hint="eastAsia"/>
                <w:b/>
              </w:rPr>
              <w:t>必输</w:t>
            </w:r>
          </w:p>
        </w:tc>
      </w:tr>
      <w:tr w14:paraId="58AB064F">
        <w:trPr>
          <w:jc w:val="center"/>
        </w:trPr>
        <w:tc>
          <w:tcPr>
            <w:tcW w:w="413" w:type="pct"/>
          </w:tcPr>
          <w:p w14:paraId="38C88641">
            <w:pPr>
              <w:pStyle w:val="34"/>
              <w:numPr>
                <w:ilvl w:val="0"/>
                <w:numId w:val="24"/>
              </w:numPr>
              <w:ind w:firstLineChars="0"/>
            </w:pPr>
          </w:p>
        </w:tc>
        <w:tc>
          <w:tcPr>
            <w:tcW w:w="1084" w:type="pct"/>
          </w:tcPr>
          <w:p w14:paraId="2DA2E467">
            <w:r>
              <w:rPr>
                <w:rFonts w:hint="eastAsia"/>
              </w:rPr>
              <w:t>组合基本信息</w:t>
            </w:r>
          </w:p>
        </w:tc>
        <w:tc>
          <w:tcPr>
            <w:tcW w:w="918" w:type="pct"/>
          </w:tcPr>
          <w:p w14:paraId="15F0EB11"/>
        </w:tc>
        <w:tc>
          <w:tcPr>
            <w:tcW w:w="2086" w:type="pct"/>
          </w:tcPr>
          <w:p w14:paraId="22DE3D89">
            <w:r>
              <w:rPr>
                <w:rFonts w:hint="eastAsia"/>
              </w:rPr>
              <w:t>通过数据中台获取</w:t>
            </w:r>
          </w:p>
        </w:tc>
        <w:tc>
          <w:tcPr>
            <w:tcW w:w="497" w:type="pct"/>
          </w:tcPr>
          <w:p w14:paraId="1F21DA85">
            <w:r>
              <w:rPr>
                <w:rFonts w:hint="eastAsia" w:ascii="宋体" w:hAnsi="宋体"/>
                <w:iCs/>
              </w:rPr>
              <w:t>√</w:t>
            </w:r>
          </w:p>
        </w:tc>
      </w:tr>
      <w:tr w14:paraId="5517C89D">
        <w:trPr>
          <w:jc w:val="center"/>
        </w:trPr>
        <w:tc>
          <w:tcPr>
            <w:tcW w:w="413" w:type="pct"/>
          </w:tcPr>
          <w:p w14:paraId="18083DEC">
            <w:pPr>
              <w:pStyle w:val="34"/>
              <w:numPr>
                <w:ilvl w:val="0"/>
                <w:numId w:val="24"/>
              </w:numPr>
              <w:ind w:firstLineChars="0"/>
            </w:pPr>
          </w:p>
        </w:tc>
        <w:tc>
          <w:tcPr>
            <w:tcW w:w="1084" w:type="pct"/>
          </w:tcPr>
          <w:p w14:paraId="3A488984">
            <w:pPr>
              <w:rPr>
                <w:i/>
                <w:color w:val="0000FF"/>
              </w:rPr>
            </w:pPr>
            <w:r>
              <w:rPr>
                <w:rFonts w:hint="eastAsia"/>
                <w:iCs/>
              </w:rPr>
              <w:t>需要分析的组合</w:t>
            </w:r>
          </w:p>
        </w:tc>
        <w:tc>
          <w:tcPr>
            <w:tcW w:w="918" w:type="pct"/>
          </w:tcPr>
          <w:p w14:paraId="589A0E9F">
            <w:pPr>
              <w:rPr>
                <w:i/>
                <w:color w:val="0000FF"/>
              </w:rPr>
            </w:pPr>
          </w:p>
        </w:tc>
        <w:tc>
          <w:tcPr>
            <w:tcW w:w="2086" w:type="pct"/>
          </w:tcPr>
          <w:p w14:paraId="7B9DBA18">
            <w:pPr>
              <w:rPr>
                <w:i/>
              </w:rPr>
            </w:pPr>
            <w:r>
              <w:rPr>
                <w:rFonts w:hint="eastAsia"/>
              </w:rPr>
              <w:t>通过筛选栏控制用户输入</w:t>
            </w:r>
          </w:p>
        </w:tc>
        <w:tc>
          <w:tcPr>
            <w:tcW w:w="497" w:type="pct"/>
          </w:tcPr>
          <w:p w14:paraId="44D602E6">
            <w:pPr>
              <w:rPr>
                <w:i/>
              </w:rPr>
            </w:pPr>
            <w:r>
              <w:rPr>
                <w:rFonts w:hint="eastAsia" w:ascii="宋体" w:hAnsi="宋体"/>
                <w:iCs/>
              </w:rPr>
              <w:t>√</w:t>
            </w:r>
          </w:p>
        </w:tc>
      </w:tr>
      <w:tr w14:paraId="6C20A4DD">
        <w:trPr>
          <w:jc w:val="center"/>
        </w:trPr>
        <w:tc>
          <w:tcPr>
            <w:tcW w:w="413" w:type="pct"/>
          </w:tcPr>
          <w:p w14:paraId="14527C04">
            <w:pPr>
              <w:pStyle w:val="34"/>
              <w:numPr>
                <w:ilvl w:val="0"/>
                <w:numId w:val="24"/>
              </w:numPr>
              <w:ind w:firstLineChars="0"/>
            </w:pPr>
          </w:p>
        </w:tc>
        <w:tc>
          <w:tcPr>
            <w:tcW w:w="1084" w:type="pct"/>
          </w:tcPr>
          <w:p w14:paraId="5C0D4AA5">
            <w:pPr>
              <w:rPr>
                <w:iCs/>
              </w:rPr>
            </w:pPr>
            <w:r>
              <w:rPr>
                <w:rFonts w:hint="eastAsia"/>
                <w:iCs/>
              </w:rPr>
              <w:t>时间</w:t>
            </w:r>
            <w:r>
              <w:rPr>
                <w:rFonts w:hint="eastAsia"/>
                <w:iCs/>
                <w:lang w:val="en-US" w:eastAsia="zh-CN"/>
              </w:rPr>
              <w:t>日期选择</w:t>
            </w:r>
          </w:p>
        </w:tc>
        <w:tc>
          <w:tcPr>
            <w:tcW w:w="918" w:type="pct"/>
          </w:tcPr>
          <w:p w14:paraId="5D23652D">
            <w:pPr>
              <w:rPr>
                <w:i/>
                <w:color w:val="0000FF"/>
              </w:rPr>
            </w:pPr>
          </w:p>
        </w:tc>
        <w:tc>
          <w:tcPr>
            <w:tcW w:w="2086" w:type="pct"/>
          </w:tcPr>
          <w:p w14:paraId="759F570A">
            <w:pPr>
              <w:rPr>
                <w:i/>
              </w:rPr>
            </w:pPr>
            <w:r>
              <w:rPr>
                <w:rFonts w:hint="eastAsia"/>
              </w:rPr>
              <w:t>通过筛选栏控制用户输入</w:t>
            </w:r>
          </w:p>
        </w:tc>
        <w:tc>
          <w:tcPr>
            <w:tcW w:w="497" w:type="pct"/>
          </w:tcPr>
          <w:p w14:paraId="2F7E5365">
            <w:pPr>
              <w:rPr>
                <w:i/>
              </w:rPr>
            </w:pPr>
            <w:r>
              <w:rPr>
                <w:rFonts w:hint="eastAsia" w:ascii="宋体" w:hAnsi="宋体"/>
                <w:iCs/>
              </w:rPr>
              <w:t>√</w:t>
            </w:r>
          </w:p>
        </w:tc>
      </w:tr>
    </w:tbl>
    <w:p w14:paraId="4D12A3FF"/>
    <w:p w14:paraId="7D637DAE">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2"/>
        <w:gridCol w:w="1776"/>
        <w:gridCol w:w="4041"/>
      </w:tblGrid>
      <w:tr w14:paraId="411D7E48">
        <w:trPr>
          <w:tblHeader/>
          <w:jc w:val="center"/>
        </w:trPr>
        <w:tc>
          <w:tcPr>
            <w:tcW w:w="413" w:type="pct"/>
            <w:shd w:val="clear" w:color="auto" w:fill="E7E6E6" w:themeFill="background2"/>
          </w:tcPr>
          <w:p w14:paraId="62898ECD">
            <w:pPr>
              <w:jc w:val="center"/>
              <w:rPr>
                <w:b/>
              </w:rPr>
            </w:pPr>
            <w:r>
              <w:rPr>
                <w:rFonts w:hint="eastAsia"/>
                <w:b/>
              </w:rPr>
              <w:t>序号</w:t>
            </w:r>
          </w:p>
        </w:tc>
        <w:tc>
          <w:tcPr>
            <w:tcW w:w="1251" w:type="pct"/>
            <w:shd w:val="clear" w:color="auto" w:fill="E7E6E6" w:themeFill="background2"/>
          </w:tcPr>
          <w:p w14:paraId="2E977914">
            <w:pPr>
              <w:jc w:val="center"/>
              <w:rPr>
                <w:b/>
              </w:rPr>
            </w:pPr>
            <w:r>
              <w:rPr>
                <w:rFonts w:hint="eastAsia"/>
                <w:b/>
              </w:rPr>
              <w:t>输出项</w:t>
            </w:r>
          </w:p>
        </w:tc>
        <w:tc>
          <w:tcPr>
            <w:tcW w:w="1018" w:type="pct"/>
            <w:shd w:val="clear" w:color="auto" w:fill="E7E6E6" w:themeFill="background2"/>
          </w:tcPr>
          <w:p w14:paraId="2A8B13EF">
            <w:pPr>
              <w:jc w:val="center"/>
              <w:rPr>
                <w:b/>
              </w:rPr>
            </w:pPr>
            <w:r>
              <w:rPr>
                <w:rFonts w:hint="eastAsia"/>
                <w:b/>
              </w:rPr>
              <w:t>取值范围</w:t>
            </w:r>
          </w:p>
        </w:tc>
        <w:tc>
          <w:tcPr>
            <w:tcW w:w="2316" w:type="pct"/>
            <w:shd w:val="clear" w:color="auto" w:fill="E7E6E6" w:themeFill="background2"/>
          </w:tcPr>
          <w:p w14:paraId="4A1E149E">
            <w:pPr>
              <w:jc w:val="center"/>
              <w:rPr>
                <w:b/>
              </w:rPr>
            </w:pPr>
            <w:r>
              <w:rPr>
                <w:rFonts w:hint="eastAsia"/>
                <w:b/>
              </w:rPr>
              <w:t>规则说明</w:t>
            </w:r>
          </w:p>
        </w:tc>
      </w:tr>
      <w:tr w14:paraId="3601A0EC">
        <w:trPr>
          <w:jc w:val="center"/>
        </w:trPr>
        <w:tc>
          <w:tcPr>
            <w:tcW w:w="413" w:type="pct"/>
          </w:tcPr>
          <w:p w14:paraId="696AB391">
            <w:pPr>
              <w:pStyle w:val="34"/>
              <w:numPr>
                <w:ilvl w:val="0"/>
                <w:numId w:val="25"/>
              </w:numPr>
              <w:ind w:firstLineChars="0"/>
            </w:pPr>
          </w:p>
        </w:tc>
        <w:tc>
          <w:tcPr>
            <w:tcW w:w="1251" w:type="pct"/>
          </w:tcPr>
          <w:p w14:paraId="39AE4F72">
            <w:pPr>
              <w:rPr>
                <w:iCs/>
              </w:rPr>
            </w:pPr>
            <w:r>
              <w:rPr>
                <w:rFonts w:hint="eastAsia"/>
                <w:iCs/>
              </w:rPr>
              <w:t>组合持仓分析</w:t>
            </w:r>
          </w:p>
        </w:tc>
        <w:tc>
          <w:tcPr>
            <w:tcW w:w="1018" w:type="pct"/>
          </w:tcPr>
          <w:p w14:paraId="4B351282"/>
        </w:tc>
        <w:tc>
          <w:tcPr>
            <w:tcW w:w="2316" w:type="pct"/>
          </w:tcPr>
          <w:p w14:paraId="4BFDC8E3">
            <w:r>
              <w:rPr>
                <w:rFonts w:hint="eastAsia"/>
              </w:rPr>
              <w:t>以图表形式可视化展现</w:t>
            </w:r>
          </w:p>
        </w:tc>
      </w:tr>
    </w:tbl>
    <w:p w14:paraId="5294C32A">
      <w:pPr>
        <w:pStyle w:val="6"/>
      </w:pPr>
      <w:r>
        <w:rPr>
          <w:rFonts w:hint="eastAsia"/>
        </w:rPr>
        <w:t>业务凭证</w:t>
      </w:r>
    </w:p>
    <w:p w14:paraId="6FAC8479">
      <w:r>
        <w:rPr>
          <w:rFonts w:hint="eastAsia"/>
        </w:rPr>
        <w:t xml:space="preserve">  不涉及。</w:t>
      </w:r>
    </w:p>
    <w:p w14:paraId="14122205">
      <w:pPr>
        <w:pStyle w:val="5"/>
      </w:pPr>
      <w:r>
        <w:rPr>
          <w:rFonts w:hint="eastAsia"/>
        </w:rPr>
        <w:t>业务规则说明</w:t>
      </w:r>
    </w:p>
    <w:p w14:paraId="64031790">
      <w:pPr>
        <w:pStyle w:val="6"/>
      </w:pPr>
      <w:r>
        <w:rPr>
          <w:rFonts w:hint="eastAsia"/>
        </w:rPr>
        <w:t>业务处理规则</w:t>
      </w:r>
    </w:p>
    <w:p w14:paraId="0E59F648">
      <w:pPr>
        <w:pStyle w:val="44"/>
        <w:spacing w:before="120" w:after="120"/>
        <w:ind w:firstLine="480"/>
      </w:pPr>
      <w:r>
        <w:rPr>
          <w:rFonts w:hint="eastAsia"/>
        </w:rPr>
        <w:t>持仓分析界面展示该用户权限内的组合指标，组合指标会预先再数据后台完成计算。</w:t>
      </w:r>
    </w:p>
    <w:p w14:paraId="1F0C3B29">
      <w:pPr>
        <w:pStyle w:val="6"/>
      </w:pPr>
      <w:r>
        <w:rPr>
          <w:rFonts w:hint="eastAsia"/>
        </w:rPr>
        <w:t>授权复核场景与规则</w:t>
      </w:r>
    </w:p>
    <w:p w14:paraId="45A6927B">
      <w:pPr>
        <w:ind w:firstLine="420"/>
      </w:pPr>
      <w:r>
        <w:rPr>
          <w:rFonts w:hint="eastAsia"/>
        </w:rPr>
        <w:t>不涉及。</w:t>
      </w:r>
    </w:p>
    <w:p w14:paraId="2AFAB9E5">
      <w:pPr>
        <w:pStyle w:val="6"/>
      </w:pPr>
      <w:r>
        <w:rPr>
          <w:rFonts w:hint="eastAsia"/>
        </w:rPr>
        <w:t>收费场景与规则</w:t>
      </w:r>
    </w:p>
    <w:p w14:paraId="6E30616D">
      <w:pPr>
        <w:ind w:firstLine="420"/>
      </w:pPr>
      <w:r>
        <w:rPr>
          <w:rFonts w:hint="eastAsia"/>
        </w:rPr>
        <w:t>不涉及。</w:t>
      </w:r>
    </w:p>
    <w:p w14:paraId="05A5D947">
      <w:pPr>
        <w:pStyle w:val="6"/>
      </w:pPr>
      <w:r>
        <w:rPr>
          <w:rFonts w:hint="eastAsia"/>
        </w:rPr>
        <w:t>核算场景与规则</w:t>
      </w:r>
    </w:p>
    <w:p w14:paraId="66C2F874">
      <w:pPr>
        <w:ind w:firstLine="420"/>
      </w:pPr>
      <w:r>
        <w:rPr>
          <w:rFonts w:hint="eastAsia"/>
        </w:rPr>
        <w:t>不涉及。</w:t>
      </w:r>
    </w:p>
    <w:p w14:paraId="606FFD3C">
      <w:pPr>
        <w:pStyle w:val="44"/>
        <w:spacing w:before="120" w:after="120"/>
        <w:ind w:firstLine="0" w:firstLineChars="0"/>
      </w:pPr>
    </w:p>
    <w:p w14:paraId="3F0509BF">
      <w:pPr>
        <w:pStyle w:val="5"/>
      </w:pPr>
      <w:r>
        <w:rPr>
          <w:rFonts w:hint="eastAsia"/>
        </w:rPr>
        <w:t>后续业务处理</w:t>
      </w:r>
    </w:p>
    <w:p w14:paraId="35C78908">
      <w:pPr>
        <w:ind w:firstLine="420" w:firstLineChars="200"/>
      </w:pPr>
      <w:r>
        <w:rPr>
          <w:rFonts w:hint="eastAsia"/>
        </w:rPr>
        <w:t>不涉及</w:t>
      </w:r>
    </w:p>
    <w:p w14:paraId="20C963DC">
      <w:pPr>
        <w:pStyle w:val="5"/>
      </w:pPr>
      <w:r>
        <w:rPr>
          <w:rFonts w:hint="eastAsia"/>
        </w:rPr>
        <w:t>异常及备注处理</w:t>
      </w:r>
    </w:p>
    <w:p w14:paraId="21F69731">
      <w:pPr>
        <w:pStyle w:val="44"/>
        <w:spacing w:before="120" w:after="120"/>
        <w:ind w:firstLine="480"/>
      </w:pPr>
      <w:r>
        <w:rPr>
          <w:rFonts w:hint="eastAsia"/>
        </w:rPr>
        <w:t>1.持仓分析功能仅包含数据及图表展示，不涉及数据输入验证的异常处理。</w:t>
      </w:r>
    </w:p>
    <w:p w14:paraId="017321F1">
      <w:pPr>
        <w:pStyle w:val="34"/>
        <w:ind w:firstLine="480"/>
      </w:pPr>
      <w:r>
        <w:rPr>
          <w:rFonts w:hint="eastAsia"/>
          <w:sz w:val="24"/>
        </w:rPr>
        <w:t>2.</w:t>
      </w:r>
      <w:r>
        <w:rPr>
          <w:sz w:val="24"/>
        </w:rPr>
        <w:t>应用</w:t>
      </w:r>
      <w:r>
        <w:rPr>
          <w:rFonts w:hint="eastAsia"/>
          <w:sz w:val="24"/>
        </w:rPr>
        <w:t>调取数据</w:t>
      </w:r>
      <w:r>
        <w:rPr>
          <w:sz w:val="24"/>
        </w:rPr>
        <w:t>出错时，需提示易于理解的信息和后续操作步骤，不要直接提示技术类的错误信息</w:t>
      </w:r>
      <w:r>
        <w:rPr>
          <w:rFonts w:hint="eastAsia"/>
          <w:sz w:val="24"/>
        </w:rPr>
        <w:t>。并将异常信息记录到日志文件中，以便开发人员分析和调试。</w:t>
      </w:r>
    </w:p>
    <w:p w14:paraId="77946DC8">
      <w:pPr>
        <w:pStyle w:val="4"/>
      </w:pPr>
      <w:bookmarkStart w:id="55" w:name="_Toc31824"/>
      <w:bookmarkStart w:id="56" w:name="_Toc181971951"/>
      <w:bookmarkStart w:id="57" w:name="_Toc184053281"/>
      <w:bookmarkStart w:id="58" w:name="_Toc182934354"/>
      <w:bookmarkStart w:id="59" w:name="_Toc26207"/>
      <w:r>
        <w:rPr>
          <w:rFonts w:hint="eastAsia"/>
        </w:rPr>
        <w:t>组合评价及业绩归因</w:t>
      </w:r>
      <w:bookmarkEnd w:id="55"/>
      <w:bookmarkEnd w:id="56"/>
      <w:bookmarkEnd w:id="57"/>
      <w:bookmarkEnd w:id="58"/>
      <w:bookmarkEnd w:id="59"/>
    </w:p>
    <w:p w14:paraId="3D11C720">
      <w:pPr>
        <w:pStyle w:val="5"/>
      </w:pPr>
      <w:r>
        <w:rPr>
          <w:rFonts w:hint="eastAsia"/>
        </w:rPr>
        <w:t>功能描述</w:t>
      </w:r>
    </w:p>
    <w:p w14:paraId="57CBDE6C">
      <w:pPr>
        <w:rPr>
          <w:sz w:val="24"/>
          <w:szCs w:val="28"/>
        </w:rPr>
      </w:pPr>
      <w:r>
        <w:rPr>
          <w:rFonts w:hint="eastAsia"/>
          <w:sz w:val="24"/>
          <w:szCs w:val="28"/>
        </w:rPr>
        <w:t>组合评价及业绩归因模块</w:t>
      </w:r>
      <w:r>
        <w:rPr>
          <w:rFonts w:hint="eastAsia" w:cs="仿宋_GB2312" w:asciiTheme="minorEastAsia" w:hAnsiTheme="minorEastAsia" w:eastAsiaTheme="minorEastAsia"/>
          <w:color w:val="000000" w:themeColor="text1"/>
          <w:kern w:val="0"/>
          <w:sz w:val="24"/>
          <w:szCs w:val="24"/>
          <w14:textFill>
            <w14:solidFill>
              <w14:schemeClr w14:val="tx1"/>
            </w14:solidFill>
          </w14:textFill>
        </w:rPr>
        <w:t>需要</w:t>
      </w:r>
      <w:r>
        <w:rPr>
          <w:rFonts w:hint="eastAsia"/>
          <w:sz w:val="24"/>
          <w:szCs w:val="28"/>
        </w:rPr>
        <w:t>包括：</w:t>
      </w:r>
    </w:p>
    <w:p w14:paraId="6C2A4823">
      <w:pPr>
        <w:rPr>
          <w:b/>
          <w:bCs/>
          <w:sz w:val="24"/>
          <w:szCs w:val="28"/>
        </w:rPr>
      </w:pPr>
      <w:r>
        <w:rPr>
          <w:rFonts w:hint="eastAsia"/>
          <w:b/>
          <w:bCs/>
          <w:sz w:val="24"/>
          <w:szCs w:val="28"/>
        </w:rPr>
        <w:t>1）盈亏分析</w:t>
      </w:r>
    </w:p>
    <w:p w14:paraId="3C3FEF68">
      <w:pPr>
        <w:ind w:firstLine="420"/>
        <w:rPr>
          <w:sz w:val="24"/>
          <w:szCs w:val="28"/>
        </w:rPr>
      </w:pPr>
      <w:r>
        <w:rPr>
          <w:rFonts w:hint="eastAsia"/>
          <w:sz w:val="24"/>
          <w:szCs w:val="28"/>
        </w:rPr>
        <w:t>组合盈亏计算及分析模块</w:t>
      </w:r>
      <w:r>
        <w:rPr>
          <w:rFonts w:hint="eastAsia" w:cs="仿宋_GB2312" w:asciiTheme="minorEastAsia" w:hAnsiTheme="minorEastAsia" w:eastAsiaTheme="minorEastAsia"/>
          <w:color w:val="000000" w:themeColor="text1"/>
          <w:kern w:val="0"/>
          <w:sz w:val="24"/>
          <w:szCs w:val="24"/>
          <w14:textFill>
            <w14:solidFill>
              <w14:schemeClr w14:val="tx1"/>
            </w14:solidFill>
          </w14:textFill>
        </w:rPr>
        <w:t>需要</w:t>
      </w:r>
      <w:r>
        <w:rPr>
          <w:rFonts w:hint="eastAsia"/>
          <w:sz w:val="24"/>
          <w:szCs w:val="28"/>
        </w:rPr>
        <w:t>提供一个精细化和动态的盈亏计算及评估表格，协助完成交易员日常监控和管理固定收益投资组合的表现的核心任务。该模块需要支持以日颗粒度进行盈亏计算，并灵活有效地支持用户对自定义时间段的损益计算及分析工作。</w:t>
      </w:r>
    </w:p>
    <w:p w14:paraId="516A09F3">
      <w:pPr>
        <w:ind w:firstLine="420"/>
        <w:rPr>
          <w:rFonts w:hint="eastAsia"/>
          <w:sz w:val="24"/>
          <w:szCs w:val="28"/>
          <w:lang w:eastAsia="zh-CN"/>
        </w:rPr>
      </w:pPr>
      <w:r>
        <w:rPr>
          <w:rFonts w:hint="eastAsia"/>
          <w:sz w:val="24"/>
          <w:szCs w:val="28"/>
        </w:rPr>
        <w:t>提供组合的历史损益计算和相关分析，包括组合及各维度分类下整体以及标的的损益情况，如票息收益、资本利得、交易盈亏、已实现及未实现盈亏等</w:t>
      </w:r>
      <w:r>
        <w:rPr>
          <w:rFonts w:hint="eastAsia"/>
          <w:sz w:val="24"/>
          <w:szCs w:val="28"/>
          <w:lang w:eastAsia="zh-CN"/>
        </w:rPr>
        <w:t>。</w:t>
      </w:r>
    </w:p>
    <w:p w14:paraId="5CD997D1">
      <w:pPr>
        <w:ind w:firstLine="420" w:firstLineChars="0"/>
        <w:rPr>
          <w:rFonts w:hint="eastAsia"/>
          <w:sz w:val="24"/>
          <w:szCs w:val="28"/>
          <w:highlight w:val="yellow"/>
          <w:lang w:val="en-US" w:eastAsia="zh-CN"/>
        </w:rPr>
      </w:pPr>
      <w:r>
        <w:rPr>
          <w:rFonts w:hint="eastAsia"/>
          <w:sz w:val="24"/>
          <w:szCs w:val="28"/>
          <w:highlight w:val="yellow"/>
          <w:lang w:val="en-US" w:eastAsia="zh-CN"/>
        </w:rPr>
        <w:t>系统支持按券种的配置利息增值税和所得税税率，并在损益统计时纳入盈亏口径。</w:t>
      </w:r>
    </w:p>
    <w:p w14:paraId="156FC3FE">
      <w:pPr>
        <w:ind w:firstLine="420" w:firstLineChars="0"/>
        <w:rPr>
          <w:sz w:val="24"/>
          <w:szCs w:val="28"/>
        </w:rPr>
      </w:pPr>
      <w:r>
        <w:rPr>
          <w:rFonts w:hint="eastAsia"/>
          <w:sz w:val="24"/>
          <w:szCs w:val="28"/>
          <w:highlight w:val="yellow"/>
          <w:lang w:val="en-US" w:eastAsia="zh-CN"/>
        </w:rPr>
        <w:t>系统支持按book设定FTP%，并在盈亏分析页面统计各资产的区间占资，系统支持导入EXCEL格式的历史FTP数据以计算历史成本，并和行内FTP系统进行对接，按照业务品种、账户、期限抓取成本，并能根据相应算法（如插值法）计算非标准FTP。</w:t>
      </w:r>
    </w:p>
    <w:p w14:paraId="0E02B162">
      <w:pPr>
        <w:rPr>
          <w:b/>
          <w:bCs/>
          <w:sz w:val="24"/>
          <w:szCs w:val="28"/>
        </w:rPr>
      </w:pPr>
      <w:r>
        <w:rPr>
          <w:rFonts w:hint="eastAsia"/>
          <w:b/>
          <w:bCs/>
          <w:sz w:val="24"/>
          <w:szCs w:val="28"/>
          <w:lang w:val="en-US" w:eastAsia="zh-CN"/>
        </w:rPr>
        <w:t>2</w:t>
      </w:r>
      <w:r>
        <w:rPr>
          <w:rFonts w:hint="eastAsia"/>
          <w:b/>
          <w:bCs/>
          <w:sz w:val="24"/>
          <w:szCs w:val="28"/>
        </w:rPr>
        <w:t>）固收Campisi归因</w:t>
      </w:r>
    </w:p>
    <w:p w14:paraId="68AF9B6E">
      <w:pPr>
        <w:ind w:firstLine="424" w:firstLineChars="177"/>
        <w:rPr>
          <w:sz w:val="24"/>
          <w:szCs w:val="28"/>
        </w:rPr>
      </w:pPr>
      <w:r>
        <w:rPr>
          <w:rFonts w:hint="eastAsia"/>
          <w:sz w:val="24"/>
          <w:szCs w:val="28"/>
        </w:rPr>
        <w:t>系统需要提供产品及组合中债券类资产的基于Campisi模型的归因分析，同时该Campisi归因分析模块可拓展到基于用户选定指数基准和组合之间超额收益的归因分析。</w:t>
      </w:r>
    </w:p>
    <w:p w14:paraId="25C0300B">
      <w:pPr>
        <w:spacing w:before="120" w:after="120"/>
        <w:ind w:firstLine="424" w:firstLineChars="177"/>
      </w:pPr>
      <w:r>
        <w:rPr>
          <w:rFonts w:hint="eastAsia"/>
          <w:sz w:val="24"/>
          <w:szCs w:val="28"/>
        </w:rPr>
        <w:t>系统需要提供Campisi归因各细项的时间序列及时序图。</w:t>
      </w:r>
    </w:p>
    <w:p w14:paraId="4FB5EA3D">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7D006FF8">
        <w:trPr>
          <w:tblHeader/>
          <w:jc w:val="center"/>
        </w:trPr>
        <w:tc>
          <w:tcPr>
            <w:tcW w:w="848" w:type="pct"/>
            <w:shd w:val="clear" w:color="auto" w:fill="E7E6E6" w:themeFill="background2"/>
          </w:tcPr>
          <w:p w14:paraId="06F5ACF5">
            <w:pPr>
              <w:jc w:val="center"/>
              <w:rPr>
                <w:b/>
              </w:rPr>
            </w:pPr>
            <w:r>
              <w:rPr>
                <w:rFonts w:hint="eastAsia"/>
                <w:b/>
              </w:rPr>
              <w:t>类型</w:t>
            </w:r>
          </w:p>
        </w:tc>
        <w:tc>
          <w:tcPr>
            <w:tcW w:w="1653" w:type="pct"/>
            <w:shd w:val="clear" w:color="auto" w:fill="E7E6E6" w:themeFill="background2"/>
          </w:tcPr>
          <w:p w14:paraId="4DEC47B8">
            <w:pPr>
              <w:jc w:val="center"/>
              <w:rPr>
                <w:b/>
              </w:rPr>
            </w:pPr>
            <w:r>
              <w:rPr>
                <w:rFonts w:hint="eastAsia"/>
                <w:b/>
              </w:rPr>
              <w:t>用户岗位描述</w:t>
            </w:r>
          </w:p>
        </w:tc>
        <w:tc>
          <w:tcPr>
            <w:tcW w:w="2498" w:type="pct"/>
            <w:shd w:val="clear" w:color="auto" w:fill="E7E6E6" w:themeFill="background2"/>
          </w:tcPr>
          <w:p w14:paraId="2215DBFD">
            <w:pPr>
              <w:jc w:val="center"/>
              <w:rPr>
                <w:b/>
              </w:rPr>
            </w:pPr>
            <w:r>
              <w:rPr>
                <w:rFonts w:hint="eastAsia"/>
                <w:b/>
              </w:rPr>
              <w:t>菜单归属或访问路径</w:t>
            </w:r>
          </w:p>
        </w:tc>
      </w:tr>
      <w:tr w14:paraId="686055F4">
        <w:trPr>
          <w:jc w:val="center"/>
        </w:trPr>
        <w:tc>
          <w:tcPr>
            <w:tcW w:w="848" w:type="pct"/>
          </w:tcPr>
          <w:p w14:paraId="4E97B3ED">
            <w:r>
              <w:rPr>
                <w:rFonts w:hint="eastAsia"/>
              </w:rPr>
              <w:t>行内员工</w:t>
            </w:r>
          </w:p>
        </w:tc>
        <w:tc>
          <w:tcPr>
            <w:tcW w:w="1653" w:type="pct"/>
          </w:tcPr>
          <w:p w14:paraId="737A106E"/>
        </w:tc>
        <w:tc>
          <w:tcPr>
            <w:tcW w:w="2498" w:type="pct"/>
          </w:tcPr>
          <w:p w14:paraId="1613E32D"/>
        </w:tc>
      </w:tr>
    </w:tbl>
    <w:p w14:paraId="5D1BBCE4">
      <w:pPr>
        <w:pStyle w:val="5"/>
      </w:pPr>
      <w:r>
        <w:rPr>
          <w:rFonts w:hint="eastAsia"/>
        </w:rPr>
        <w:t>操作步骤</w:t>
      </w:r>
    </w:p>
    <w:p w14:paraId="5527B483">
      <w:r>
        <w:rPr>
          <w:rFonts w:hint="eastAsia"/>
          <w:sz w:val="24"/>
        </w:rPr>
        <w:t>系统需支持交易员可以做如下相关操作：</w:t>
      </w:r>
    </w:p>
    <w:p w14:paraId="21C7108A">
      <w:pPr>
        <w:pStyle w:val="44"/>
        <w:spacing w:before="120" w:after="120"/>
        <w:ind w:firstLine="480"/>
      </w:pPr>
      <w:r>
        <w:rPr>
          <w:rFonts w:hint="eastAsia"/>
        </w:rPr>
        <w:t>1.进入组合评价及业绩归因模块，选择需要分析的组合。</w:t>
      </w:r>
    </w:p>
    <w:p w14:paraId="6615CE38">
      <w:pPr>
        <w:pStyle w:val="44"/>
        <w:spacing w:before="120" w:after="120"/>
        <w:ind w:firstLine="480"/>
      </w:pPr>
      <w:r>
        <w:rPr>
          <w:rFonts w:hint="eastAsia"/>
        </w:rPr>
        <w:t>2.在盈亏分析模块中，查看所选组合的持有期收益率、总盈亏等指标，</w:t>
      </w:r>
      <w:r>
        <w:rPr>
          <w:rFonts w:hint="eastAsia"/>
          <w:szCs w:val="28"/>
        </w:rPr>
        <w:t>对组合的历史损益计算和相关分析，包括损益情况，如票息收益、资本利得、交易盈亏、已实现及未实现盈亏等。</w:t>
      </w:r>
    </w:p>
    <w:p w14:paraId="65051C6F">
      <w:pPr>
        <w:pStyle w:val="44"/>
        <w:spacing w:before="120" w:after="120"/>
        <w:ind w:firstLine="480"/>
      </w:pPr>
      <w:r>
        <w:rPr>
          <w:rFonts w:hint="eastAsia"/>
          <w:lang w:val="en-US" w:eastAsia="zh-CN"/>
        </w:rPr>
        <w:t>3</w:t>
      </w:r>
      <w:r>
        <w:rPr>
          <w:rFonts w:hint="eastAsia"/>
        </w:rPr>
        <w:t>.在Campisi归因模块中，对选择的组合进行基于Campisi模型收益分析，展示不同组合的收益情况、归因对比，通过筛选选项可以查看不同的Campisi细项的时间序列与时序图。</w:t>
      </w:r>
    </w:p>
    <w:p w14:paraId="6F4F0031">
      <w:pPr>
        <w:pStyle w:val="44"/>
        <w:spacing w:before="120" w:after="120"/>
        <w:ind w:firstLine="480"/>
      </w:pPr>
      <w:r>
        <w:rPr>
          <w:rFonts w:hint="eastAsia"/>
          <w:lang w:val="en-US" w:eastAsia="zh-CN"/>
        </w:rPr>
        <w:t>4.</w:t>
      </w:r>
      <w:r>
        <w:rPr>
          <w:rFonts w:hint="eastAsia"/>
        </w:rPr>
        <w:t>点击报告导出，支持组合评价及业绩归因的报告导出。</w:t>
      </w:r>
    </w:p>
    <w:p w14:paraId="1D3A8BCD">
      <w:pPr>
        <w:pStyle w:val="5"/>
      </w:pPr>
      <w:r>
        <w:rPr>
          <w:rFonts w:hint="eastAsia"/>
        </w:rPr>
        <w:t>用户界面</w:t>
      </w:r>
    </w:p>
    <w:p w14:paraId="2E88826E">
      <w:pPr>
        <w:pStyle w:val="6"/>
      </w:pPr>
      <w:r>
        <w:rPr>
          <w:rFonts w:hint="eastAsia"/>
        </w:rPr>
        <w:t>界面示意图</w:t>
      </w:r>
    </w:p>
    <w:p w14:paraId="0DEAF722">
      <w:pPr>
        <w:jc w:val="center"/>
      </w:pPr>
      <w:r>
        <w:drawing>
          <wp:inline distT="0" distB="0" distL="0" distR="0">
            <wp:extent cx="5400040" cy="3020060"/>
            <wp:effectExtent l="0" t="0" r="0" b="8890"/>
            <wp:docPr id="13282220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22052" name="图片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6D25BD10">
      <w:pPr>
        <w:pStyle w:val="44"/>
        <w:spacing w:before="120" w:after="120"/>
        <w:ind w:firstLine="480"/>
        <w:jc w:val="center"/>
      </w:pPr>
      <w:r>
        <w:rPr>
          <w:rFonts w:hint="eastAsia"/>
        </w:rPr>
        <w:t>盈亏分析</w:t>
      </w:r>
    </w:p>
    <w:p w14:paraId="5B51E35A">
      <w:pPr>
        <w:pStyle w:val="44"/>
        <w:spacing w:before="120" w:after="120"/>
        <w:ind w:firstLine="0" w:firstLineChars="0"/>
      </w:pPr>
      <w:r>
        <w:drawing>
          <wp:inline distT="0" distB="0" distL="0" distR="0">
            <wp:extent cx="5400040" cy="3020060"/>
            <wp:effectExtent l="0" t="0" r="0" b="8890"/>
            <wp:docPr id="14830332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33260" name="图片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78441A3B">
      <w:pPr>
        <w:pStyle w:val="44"/>
        <w:spacing w:before="120" w:after="120"/>
        <w:ind w:firstLine="480"/>
        <w:jc w:val="center"/>
      </w:pPr>
      <w:r>
        <w:rPr>
          <w:rFonts w:hint="eastAsia"/>
        </w:rPr>
        <w:t>固收Campisi归因</w:t>
      </w:r>
    </w:p>
    <w:p w14:paraId="7438A7EF">
      <w:pPr>
        <w:pStyle w:val="44"/>
        <w:spacing w:before="120" w:after="120"/>
        <w:ind w:firstLine="482"/>
        <w:rPr>
          <w:b/>
        </w:rPr>
      </w:pPr>
      <w:r>
        <w:rPr>
          <w:rFonts w:hint="eastAsia"/>
          <w:b/>
        </w:rPr>
        <w:t>界面布局要求与说明：</w:t>
      </w:r>
    </w:p>
    <w:p w14:paraId="0B719E30">
      <w:pPr>
        <w:pStyle w:val="44"/>
        <w:spacing w:before="120" w:after="120"/>
        <w:ind w:firstLine="480"/>
        <w:rPr>
          <w:bCs/>
        </w:rPr>
      </w:pPr>
      <w:r>
        <w:rPr>
          <w:rFonts w:hint="eastAsia"/>
          <w:bCs/>
        </w:rPr>
        <w:t>该功能模块需要包含多个子页面，子页面可以快速切换并包含以下功能点：</w:t>
      </w:r>
    </w:p>
    <w:p w14:paraId="1A468884">
      <w:pPr>
        <w:pStyle w:val="44"/>
        <w:numPr>
          <w:ilvl w:val="0"/>
          <w:numId w:val="26"/>
        </w:numPr>
        <w:spacing w:before="120" w:after="120"/>
        <w:ind w:firstLineChars="0"/>
        <w:rPr>
          <w:bCs/>
        </w:rPr>
      </w:pPr>
      <w:r>
        <w:rPr>
          <w:rFonts w:hint="eastAsia"/>
          <w:bCs/>
        </w:rPr>
        <w:t>模块选择区域：</w:t>
      </w:r>
      <w:r>
        <w:rPr>
          <w:bCs/>
        </w:rPr>
        <w:t>提供清晰的标签或下拉菜单，让用户选择不同的分析模块，如“盈亏分析”、“固收Campisi归因”</w:t>
      </w:r>
    </w:p>
    <w:p w14:paraId="733D12AD">
      <w:pPr>
        <w:widowControl/>
        <w:numPr>
          <w:ilvl w:val="0"/>
          <w:numId w:val="26"/>
        </w:numPr>
        <w:spacing w:line="360" w:lineRule="atLeast"/>
        <w:jc w:val="left"/>
        <w:rPr>
          <w:bCs/>
          <w:sz w:val="24"/>
        </w:rPr>
      </w:pPr>
      <w:r>
        <w:rPr>
          <w:rFonts w:hint="eastAsia"/>
          <w:bCs/>
          <w:sz w:val="24"/>
        </w:rPr>
        <w:t>盈亏分析区域：</w:t>
      </w:r>
    </w:p>
    <w:p w14:paraId="712F9AD6">
      <w:pPr>
        <w:widowControl/>
        <w:numPr>
          <w:ilvl w:val="1"/>
          <w:numId w:val="26"/>
        </w:numPr>
        <w:spacing w:before="100" w:beforeAutospacing="1" w:after="100" w:afterAutospacing="1" w:line="360" w:lineRule="atLeast"/>
        <w:jc w:val="left"/>
        <w:rPr>
          <w:bCs/>
          <w:sz w:val="24"/>
        </w:rPr>
      </w:pPr>
      <w:r>
        <w:rPr>
          <w:bCs/>
          <w:sz w:val="24"/>
        </w:rPr>
        <w:t>提供一个日历控件，允许用户选择分析的日期或时间段。</w:t>
      </w:r>
    </w:p>
    <w:p w14:paraId="6ACD1485">
      <w:pPr>
        <w:widowControl/>
        <w:numPr>
          <w:ilvl w:val="1"/>
          <w:numId w:val="26"/>
        </w:numPr>
        <w:spacing w:before="100" w:beforeAutospacing="1" w:after="100" w:afterAutospacing="1" w:line="360" w:lineRule="atLeast"/>
        <w:jc w:val="left"/>
        <w:rPr>
          <w:bCs/>
          <w:sz w:val="24"/>
        </w:rPr>
      </w:pPr>
      <w:r>
        <w:rPr>
          <w:bCs/>
          <w:sz w:val="24"/>
        </w:rPr>
        <w:t>展示盈亏计算结果的表格，包括票息收益、资本利得等。</w:t>
      </w:r>
    </w:p>
    <w:p w14:paraId="46E9D83B">
      <w:pPr>
        <w:widowControl/>
        <w:numPr>
          <w:ilvl w:val="0"/>
          <w:numId w:val="26"/>
        </w:numPr>
        <w:spacing w:line="360" w:lineRule="atLeast"/>
        <w:jc w:val="left"/>
        <w:rPr>
          <w:bCs/>
          <w:sz w:val="24"/>
        </w:rPr>
      </w:pPr>
      <w:r>
        <w:rPr>
          <w:bCs/>
          <w:sz w:val="24"/>
        </w:rPr>
        <w:t>固收Campisi归因区域：</w:t>
      </w:r>
    </w:p>
    <w:p w14:paraId="40B2E381">
      <w:pPr>
        <w:widowControl/>
        <w:numPr>
          <w:ilvl w:val="1"/>
          <w:numId w:val="26"/>
        </w:numPr>
        <w:spacing w:before="100" w:beforeAutospacing="1" w:after="100" w:afterAutospacing="1" w:line="360" w:lineRule="atLeast"/>
        <w:jc w:val="left"/>
        <w:rPr>
          <w:bCs/>
          <w:sz w:val="24"/>
        </w:rPr>
      </w:pPr>
      <w:r>
        <w:rPr>
          <w:bCs/>
          <w:sz w:val="24"/>
        </w:rPr>
        <w:t>提供一个界面展示Campisi归因模型的各个组成部分。</w:t>
      </w:r>
    </w:p>
    <w:p w14:paraId="4A7F1162">
      <w:pPr>
        <w:widowControl/>
        <w:numPr>
          <w:ilvl w:val="1"/>
          <w:numId w:val="26"/>
        </w:numPr>
        <w:spacing w:before="100" w:beforeAutospacing="1" w:after="100" w:afterAutospacing="1" w:line="360" w:lineRule="atLeast"/>
        <w:jc w:val="left"/>
        <w:rPr>
          <w:bCs/>
          <w:sz w:val="24"/>
        </w:rPr>
      </w:pPr>
      <w:r>
        <w:rPr>
          <w:bCs/>
          <w:sz w:val="24"/>
        </w:rPr>
        <w:t>展示归因分析的时间序列数据和图表。</w:t>
      </w:r>
    </w:p>
    <w:p w14:paraId="6B634AC3">
      <w:pPr>
        <w:widowControl/>
        <w:numPr>
          <w:ilvl w:val="0"/>
          <w:numId w:val="26"/>
        </w:numPr>
        <w:spacing w:before="100" w:beforeAutospacing="1" w:after="100" w:afterAutospacing="1" w:line="360" w:lineRule="atLeast"/>
        <w:jc w:val="left"/>
        <w:rPr>
          <w:bCs/>
          <w:sz w:val="24"/>
        </w:rPr>
      </w:pPr>
      <w:r>
        <w:rPr>
          <w:rFonts w:hint="eastAsia"/>
          <w:bCs/>
          <w:sz w:val="24"/>
        </w:rPr>
        <w:t>支持组合评价及业绩归因模块数据的导出。</w:t>
      </w:r>
    </w:p>
    <w:p w14:paraId="3473996B">
      <w:pPr>
        <w:pStyle w:val="44"/>
        <w:numPr>
          <w:ilvl w:val="0"/>
          <w:numId w:val="26"/>
        </w:numPr>
        <w:spacing w:before="120" w:after="120"/>
        <w:ind w:firstLineChars="0"/>
        <w:rPr>
          <w:bCs/>
        </w:rPr>
      </w:pPr>
      <w:r>
        <w:rPr>
          <w:rFonts w:hint="eastAsia"/>
          <w:bCs/>
        </w:rPr>
        <w:t>交互式元素：图表和数据表格应支持交互操作，如点击查看详细数据，拖动调整大小等。</w:t>
      </w:r>
    </w:p>
    <w:p w14:paraId="7A096F0A">
      <w:pPr>
        <w:pStyle w:val="44"/>
        <w:spacing w:before="120" w:after="120"/>
        <w:ind w:firstLine="480"/>
      </w:pPr>
    </w:p>
    <w:p w14:paraId="0823CCB2">
      <w:pPr>
        <w:pStyle w:val="6"/>
      </w:pPr>
      <w:r>
        <w:rPr>
          <w:rFonts w:hint="eastAsia"/>
        </w:rPr>
        <w:t>输入输出说明</w:t>
      </w:r>
    </w:p>
    <w:p w14:paraId="411B2A26">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6B684393">
        <w:trPr>
          <w:tblHeader/>
          <w:jc w:val="center"/>
        </w:trPr>
        <w:tc>
          <w:tcPr>
            <w:tcW w:w="413" w:type="pct"/>
            <w:shd w:val="clear" w:color="auto" w:fill="E7E6E6" w:themeFill="background2"/>
          </w:tcPr>
          <w:p w14:paraId="3852AC90">
            <w:pPr>
              <w:jc w:val="center"/>
              <w:rPr>
                <w:b/>
              </w:rPr>
            </w:pPr>
            <w:r>
              <w:rPr>
                <w:rFonts w:hint="eastAsia"/>
                <w:b/>
              </w:rPr>
              <w:t>序号</w:t>
            </w:r>
          </w:p>
        </w:tc>
        <w:tc>
          <w:tcPr>
            <w:tcW w:w="1084" w:type="pct"/>
            <w:shd w:val="clear" w:color="auto" w:fill="E7E6E6" w:themeFill="background2"/>
          </w:tcPr>
          <w:p w14:paraId="15A816DA">
            <w:pPr>
              <w:jc w:val="center"/>
              <w:rPr>
                <w:b/>
              </w:rPr>
            </w:pPr>
            <w:r>
              <w:rPr>
                <w:rFonts w:hint="eastAsia"/>
                <w:b/>
              </w:rPr>
              <w:t>输入项</w:t>
            </w:r>
          </w:p>
        </w:tc>
        <w:tc>
          <w:tcPr>
            <w:tcW w:w="918" w:type="pct"/>
            <w:shd w:val="clear" w:color="auto" w:fill="E7E6E6" w:themeFill="background2"/>
          </w:tcPr>
          <w:p w14:paraId="09C2F984">
            <w:pPr>
              <w:jc w:val="center"/>
              <w:rPr>
                <w:b/>
              </w:rPr>
            </w:pPr>
            <w:r>
              <w:rPr>
                <w:rFonts w:hint="eastAsia"/>
                <w:b/>
              </w:rPr>
              <w:t>取值范围</w:t>
            </w:r>
          </w:p>
        </w:tc>
        <w:tc>
          <w:tcPr>
            <w:tcW w:w="2086" w:type="pct"/>
            <w:shd w:val="clear" w:color="auto" w:fill="E7E6E6" w:themeFill="background2"/>
          </w:tcPr>
          <w:p w14:paraId="19BF09CD">
            <w:pPr>
              <w:jc w:val="center"/>
              <w:rPr>
                <w:b/>
              </w:rPr>
            </w:pPr>
            <w:r>
              <w:rPr>
                <w:rFonts w:hint="eastAsia"/>
                <w:b/>
              </w:rPr>
              <w:t>规则说明</w:t>
            </w:r>
          </w:p>
        </w:tc>
        <w:tc>
          <w:tcPr>
            <w:tcW w:w="497" w:type="pct"/>
            <w:shd w:val="clear" w:color="auto" w:fill="E7E6E6" w:themeFill="background2"/>
          </w:tcPr>
          <w:p w14:paraId="6AA3A742">
            <w:pPr>
              <w:jc w:val="center"/>
              <w:rPr>
                <w:b/>
              </w:rPr>
            </w:pPr>
            <w:r>
              <w:rPr>
                <w:rFonts w:hint="eastAsia"/>
                <w:b/>
              </w:rPr>
              <w:t>必输</w:t>
            </w:r>
          </w:p>
        </w:tc>
      </w:tr>
      <w:tr w14:paraId="32086B73">
        <w:trPr>
          <w:jc w:val="center"/>
        </w:trPr>
        <w:tc>
          <w:tcPr>
            <w:tcW w:w="413" w:type="pct"/>
          </w:tcPr>
          <w:p w14:paraId="085123F8">
            <w:pPr>
              <w:pStyle w:val="34"/>
              <w:numPr>
                <w:ilvl w:val="0"/>
                <w:numId w:val="27"/>
              </w:numPr>
              <w:ind w:firstLineChars="0"/>
            </w:pPr>
          </w:p>
        </w:tc>
        <w:tc>
          <w:tcPr>
            <w:tcW w:w="1084" w:type="pct"/>
          </w:tcPr>
          <w:p w14:paraId="0A91C335">
            <w:r>
              <w:rPr>
                <w:rFonts w:hint="eastAsia"/>
              </w:rPr>
              <w:t>组合基本信息</w:t>
            </w:r>
          </w:p>
        </w:tc>
        <w:tc>
          <w:tcPr>
            <w:tcW w:w="918" w:type="pct"/>
          </w:tcPr>
          <w:p w14:paraId="55E68DF0"/>
        </w:tc>
        <w:tc>
          <w:tcPr>
            <w:tcW w:w="2086" w:type="pct"/>
          </w:tcPr>
          <w:p w14:paraId="0A56589E">
            <w:r>
              <w:rPr>
                <w:rFonts w:hint="eastAsia"/>
              </w:rPr>
              <w:t>通过数据中台获取</w:t>
            </w:r>
          </w:p>
        </w:tc>
        <w:tc>
          <w:tcPr>
            <w:tcW w:w="497" w:type="pct"/>
          </w:tcPr>
          <w:p w14:paraId="2502432E">
            <w:r>
              <w:rPr>
                <w:rFonts w:hint="eastAsia" w:ascii="宋体" w:hAnsi="宋体"/>
                <w:iCs/>
              </w:rPr>
              <w:t>√</w:t>
            </w:r>
          </w:p>
        </w:tc>
      </w:tr>
      <w:tr w14:paraId="480AAC29">
        <w:trPr>
          <w:jc w:val="center"/>
        </w:trPr>
        <w:tc>
          <w:tcPr>
            <w:tcW w:w="413" w:type="pct"/>
          </w:tcPr>
          <w:p w14:paraId="1CE6A995">
            <w:pPr>
              <w:pStyle w:val="34"/>
              <w:numPr>
                <w:ilvl w:val="0"/>
                <w:numId w:val="27"/>
              </w:numPr>
              <w:ind w:firstLineChars="0"/>
            </w:pPr>
          </w:p>
        </w:tc>
        <w:tc>
          <w:tcPr>
            <w:tcW w:w="1084" w:type="pct"/>
          </w:tcPr>
          <w:p w14:paraId="6CCF45F6">
            <w:pPr>
              <w:rPr>
                <w:iCs/>
                <w:szCs w:val="21"/>
              </w:rPr>
            </w:pPr>
            <w:r>
              <w:rPr>
                <w:rFonts w:hint="eastAsia"/>
                <w:iCs/>
                <w:szCs w:val="21"/>
              </w:rPr>
              <w:t>盈亏分析参数选择</w:t>
            </w:r>
          </w:p>
        </w:tc>
        <w:tc>
          <w:tcPr>
            <w:tcW w:w="918" w:type="pct"/>
          </w:tcPr>
          <w:p w14:paraId="796E99E0">
            <w:pPr>
              <w:rPr>
                <w:iCs/>
                <w:szCs w:val="21"/>
              </w:rPr>
            </w:pPr>
          </w:p>
        </w:tc>
        <w:tc>
          <w:tcPr>
            <w:tcW w:w="2086" w:type="pct"/>
          </w:tcPr>
          <w:p w14:paraId="710B9D2B">
            <w:pPr>
              <w:rPr>
                <w:iCs/>
                <w:szCs w:val="21"/>
              </w:rPr>
            </w:pPr>
            <w:r>
              <w:rPr>
                <w:rFonts w:hint="eastAsia"/>
                <w:iCs/>
                <w:szCs w:val="21"/>
              </w:rPr>
              <w:t>包括时间、资产分布、债券分布、收益率等各类筛选标签</w:t>
            </w:r>
          </w:p>
        </w:tc>
        <w:tc>
          <w:tcPr>
            <w:tcW w:w="497" w:type="pct"/>
          </w:tcPr>
          <w:p w14:paraId="5E4E93CB">
            <w:pPr>
              <w:rPr>
                <w:i/>
                <w:color w:val="0000FF"/>
              </w:rPr>
            </w:pPr>
            <w:r>
              <w:rPr>
                <w:rFonts w:hint="eastAsia" w:ascii="宋体" w:hAnsi="宋体"/>
                <w:iCs/>
              </w:rPr>
              <w:t>√</w:t>
            </w:r>
          </w:p>
        </w:tc>
      </w:tr>
      <w:tr w14:paraId="54F8449B">
        <w:trPr>
          <w:jc w:val="center"/>
        </w:trPr>
        <w:tc>
          <w:tcPr>
            <w:tcW w:w="413" w:type="pct"/>
          </w:tcPr>
          <w:p w14:paraId="492EC9B6">
            <w:pPr>
              <w:pStyle w:val="34"/>
              <w:numPr>
                <w:ilvl w:val="0"/>
                <w:numId w:val="27"/>
              </w:numPr>
              <w:ind w:firstLineChars="0"/>
            </w:pPr>
          </w:p>
        </w:tc>
        <w:tc>
          <w:tcPr>
            <w:tcW w:w="1084" w:type="pct"/>
          </w:tcPr>
          <w:p w14:paraId="3F87ED99">
            <w:pPr>
              <w:rPr>
                <w:iCs/>
                <w:szCs w:val="21"/>
              </w:rPr>
            </w:pPr>
            <w:r>
              <w:rPr>
                <w:rFonts w:hint="eastAsia"/>
                <w:iCs/>
                <w:szCs w:val="21"/>
              </w:rPr>
              <w:t>Campisi归因参数选择</w:t>
            </w:r>
          </w:p>
        </w:tc>
        <w:tc>
          <w:tcPr>
            <w:tcW w:w="918" w:type="pct"/>
          </w:tcPr>
          <w:p w14:paraId="0434DF0A">
            <w:pPr>
              <w:rPr>
                <w:iCs/>
                <w:szCs w:val="21"/>
              </w:rPr>
            </w:pPr>
          </w:p>
        </w:tc>
        <w:tc>
          <w:tcPr>
            <w:tcW w:w="2086" w:type="pct"/>
          </w:tcPr>
          <w:p w14:paraId="47F60C91">
            <w:pPr>
              <w:rPr>
                <w:iCs/>
                <w:szCs w:val="21"/>
              </w:rPr>
            </w:pPr>
            <w:r>
              <w:rPr>
                <w:rFonts w:hint="eastAsia"/>
                <w:iCs/>
                <w:szCs w:val="21"/>
              </w:rPr>
              <w:t>包括收益分项、资产分布、时间、不同Campisi细项的各类筛选标签</w:t>
            </w:r>
          </w:p>
        </w:tc>
        <w:tc>
          <w:tcPr>
            <w:tcW w:w="497" w:type="pct"/>
          </w:tcPr>
          <w:p w14:paraId="59FE7789">
            <w:pPr>
              <w:rPr>
                <w:i/>
                <w:color w:val="0000FF"/>
              </w:rPr>
            </w:pPr>
            <w:r>
              <w:rPr>
                <w:rFonts w:hint="eastAsia" w:ascii="宋体" w:hAnsi="宋体"/>
                <w:iCs/>
              </w:rPr>
              <w:t>√</w:t>
            </w:r>
          </w:p>
        </w:tc>
      </w:tr>
    </w:tbl>
    <w:p w14:paraId="2C21FCCC"/>
    <w:p w14:paraId="44345468">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2"/>
        <w:gridCol w:w="1776"/>
        <w:gridCol w:w="4041"/>
      </w:tblGrid>
      <w:tr w14:paraId="4C8E1AE8">
        <w:trPr>
          <w:tblHeader/>
          <w:jc w:val="center"/>
        </w:trPr>
        <w:tc>
          <w:tcPr>
            <w:tcW w:w="413" w:type="pct"/>
            <w:shd w:val="clear" w:color="auto" w:fill="E7E6E6" w:themeFill="background2"/>
          </w:tcPr>
          <w:p w14:paraId="49813351">
            <w:pPr>
              <w:jc w:val="center"/>
              <w:rPr>
                <w:b/>
              </w:rPr>
            </w:pPr>
            <w:r>
              <w:rPr>
                <w:rFonts w:hint="eastAsia"/>
                <w:b/>
              </w:rPr>
              <w:t>序号</w:t>
            </w:r>
          </w:p>
        </w:tc>
        <w:tc>
          <w:tcPr>
            <w:tcW w:w="1251" w:type="pct"/>
            <w:shd w:val="clear" w:color="auto" w:fill="E7E6E6" w:themeFill="background2"/>
          </w:tcPr>
          <w:p w14:paraId="099EA2B5">
            <w:pPr>
              <w:jc w:val="center"/>
              <w:rPr>
                <w:b/>
              </w:rPr>
            </w:pPr>
            <w:r>
              <w:rPr>
                <w:rFonts w:hint="eastAsia"/>
                <w:b/>
              </w:rPr>
              <w:t>输出项</w:t>
            </w:r>
          </w:p>
        </w:tc>
        <w:tc>
          <w:tcPr>
            <w:tcW w:w="1018" w:type="pct"/>
            <w:shd w:val="clear" w:color="auto" w:fill="E7E6E6" w:themeFill="background2"/>
          </w:tcPr>
          <w:p w14:paraId="1C743F59">
            <w:pPr>
              <w:jc w:val="center"/>
              <w:rPr>
                <w:b/>
              </w:rPr>
            </w:pPr>
            <w:r>
              <w:rPr>
                <w:rFonts w:hint="eastAsia"/>
                <w:b/>
              </w:rPr>
              <w:t>取值范围</w:t>
            </w:r>
          </w:p>
        </w:tc>
        <w:tc>
          <w:tcPr>
            <w:tcW w:w="2316" w:type="pct"/>
            <w:shd w:val="clear" w:color="auto" w:fill="E7E6E6" w:themeFill="background2"/>
          </w:tcPr>
          <w:p w14:paraId="400134E6">
            <w:pPr>
              <w:jc w:val="center"/>
              <w:rPr>
                <w:b/>
              </w:rPr>
            </w:pPr>
            <w:r>
              <w:rPr>
                <w:rFonts w:hint="eastAsia"/>
                <w:b/>
              </w:rPr>
              <w:t>规则说明</w:t>
            </w:r>
          </w:p>
        </w:tc>
      </w:tr>
      <w:tr w14:paraId="07FDEBDA">
        <w:trPr>
          <w:jc w:val="center"/>
        </w:trPr>
        <w:tc>
          <w:tcPr>
            <w:tcW w:w="413" w:type="pct"/>
          </w:tcPr>
          <w:p w14:paraId="14B6D805">
            <w:pPr>
              <w:pStyle w:val="34"/>
              <w:numPr>
                <w:ilvl w:val="0"/>
                <w:numId w:val="28"/>
              </w:numPr>
              <w:ind w:firstLineChars="0"/>
            </w:pPr>
          </w:p>
        </w:tc>
        <w:tc>
          <w:tcPr>
            <w:tcW w:w="1251" w:type="pct"/>
          </w:tcPr>
          <w:p w14:paraId="0096BEC4">
            <w:pPr>
              <w:rPr>
                <w:i/>
              </w:rPr>
            </w:pPr>
            <w:r>
              <w:rPr>
                <w:rFonts w:hint="eastAsia"/>
                <w:iCs/>
                <w:szCs w:val="21"/>
              </w:rPr>
              <w:t>盈亏分析分析图表</w:t>
            </w:r>
          </w:p>
        </w:tc>
        <w:tc>
          <w:tcPr>
            <w:tcW w:w="1018" w:type="pct"/>
          </w:tcPr>
          <w:p w14:paraId="730E213D"/>
        </w:tc>
        <w:tc>
          <w:tcPr>
            <w:tcW w:w="2316" w:type="pct"/>
          </w:tcPr>
          <w:p w14:paraId="69DCD133">
            <w:r>
              <w:rPr>
                <w:rFonts w:hint="eastAsia"/>
              </w:rPr>
              <w:t>可视化输出包括持有期收益率、总盈亏等指标，支持切换和分类</w:t>
            </w:r>
          </w:p>
        </w:tc>
      </w:tr>
      <w:tr w14:paraId="399716EB">
        <w:trPr>
          <w:jc w:val="center"/>
        </w:trPr>
        <w:tc>
          <w:tcPr>
            <w:tcW w:w="413" w:type="pct"/>
          </w:tcPr>
          <w:p w14:paraId="67ED70D9">
            <w:pPr>
              <w:pStyle w:val="34"/>
              <w:numPr>
                <w:ilvl w:val="0"/>
                <w:numId w:val="28"/>
              </w:numPr>
              <w:ind w:firstLineChars="0"/>
            </w:pPr>
          </w:p>
        </w:tc>
        <w:tc>
          <w:tcPr>
            <w:tcW w:w="1251" w:type="pct"/>
          </w:tcPr>
          <w:p w14:paraId="634BEDC7">
            <w:r>
              <w:rPr>
                <w:rFonts w:hint="eastAsia"/>
                <w:iCs/>
                <w:szCs w:val="21"/>
              </w:rPr>
              <w:t>Campisi归因图表</w:t>
            </w:r>
          </w:p>
        </w:tc>
        <w:tc>
          <w:tcPr>
            <w:tcW w:w="1018" w:type="pct"/>
          </w:tcPr>
          <w:p w14:paraId="32878F2A"/>
        </w:tc>
        <w:tc>
          <w:tcPr>
            <w:tcW w:w="2316" w:type="pct"/>
          </w:tcPr>
          <w:p w14:paraId="75FE9BA4">
            <w:r>
              <w:rPr>
                <w:rFonts w:hint="eastAsia"/>
              </w:rPr>
              <w:t>支持输出收益情况、归因对比、时间序列等指标功能，支持切换和分类</w:t>
            </w:r>
          </w:p>
        </w:tc>
      </w:tr>
    </w:tbl>
    <w:p w14:paraId="7A7FEA9F">
      <w:pPr>
        <w:pStyle w:val="6"/>
      </w:pPr>
      <w:r>
        <w:rPr>
          <w:rFonts w:hint="eastAsia"/>
        </w:rPr>
        <w:t>业务凭证</w:t>
      </w:r>
    </w:p>
    <w:p w14:paraId="11CF02A9">
      <w:r>
        <w:rPr>
          <w:rFonts w:hint="eastAsia"/>
        </w:rPr>
        <w:t xml:space="preserve">  不涉及。</w:t>
      </w:r>
    </w:p>
    <w:p w14:paraId="10B5DD81">
      <w:pPr>
        <w:pStyle w:val="5"/>
      </w:pPr>
      <w:r>
        <w:rPr>
          <w:rFonts w:hint="eastAsia"/>
        </w:rPr>
        <w:t>业务规则说明</w:t>
      </w:r>
    </w:p>
    <w:p w14:paraId="4DFA922C">
      <w:pPr>
        <w:pStyle w:val="6"/>
      </w:pPr>
      <w:r>
        <w:rPr>
          <w:rFonts w:hint="eastAsia"/>
        </w:rPr>
        <w:t>业务处理规则</w:t>
      </w:r>
    </w:p>
    <w:p w14:paraId="47FC5E42">
      <w:pPr>
        <w:pStyle w:val="44"/>
        <w:numPr>
          <w:ilvl w:val="0"/>
          <w:numId w:val="29"/>
        </w:numPr>
        <w:spacing w:before="120" w:after="120"/>
        <w:ind w:firstLineChars="0"/>
      </w:pPr>
      <w:r>
        <w:rPr>
          <w:rFonts w:hint="eastAsia"/>
        </w:rPr>
        <w:t>Campisi归因将会调用计算引擎中的Campisi模型，对组合收益进行拆分，并展示</w:t>
      </w:r>
    </w:p>
    <w:p w14:paraId="295FC023">
      <w:pPr>
        <w:pStyle w:val="6"/>
      </w:pPr>
      <w:r>
        <w:rPr>
          <w:rFonts w:hint="eastAsia"/>
        </w:rPr>
        <w:t>授权复核场景与规则</w:t>
      </w:r>
    </w:p>
    <w:p w14:paraId="2E877E0F">
      <w:pPr>
        <w:ind w:firstLine="420"/>
      </w:pPr>
      <w:r>
        <w:rPr>
          <w:rFonts w:hint="eastAsia"/>
        </w:rPr>
        <w:t>不涉及。</w:t>
      </w:r>
    </w:p>
    <w:p w14:paraId="09372FDE">
      <w:pPr>
        <w:pStyle w:val="6"/>
      </w:pPr>
      <w:r>
        <w:rPr>
          <w:rFonts w:hint="eastAsia"/>
        </w:rPr>
        <w:t>收费场景与规则</w:t>
      </w:r>
    </w:p>
    <w:p w14:paraId="26E85DDA">
      <w:pPr>
        <w:ind w:firstLine="420"/>
      </w:pPr>
      <w:r>
        <w:rPr>
          <w:rFonts w:hint="eastAsia"/>
        </w:rPr>
        <w:t>不涉及。</w:t>
      </w:r>
    </w:p>
    <w:p w14:paraId="4E466938">
      <w:pPr>
        <w:pStyle w:val="6"/>
      </w:pPr>
      <w:r>
        <w:rPr>
          <w:rFonts w:hint="eastAsia"/>
        </w:rPr>
        <w:t>核算场景与规则</w:t>
      </w:r>
    </w:p>
    <w:p w14:paraId="1943E9A7">
      <w:pPr>
        <w:ind w:firstLine="420"/>
      </w:pPr>
      <w:r>
        <w:rPr>
          <w:rFonts w:hint="eastAsia"/>
        </w:rPr>
        <w:t>不涉及。</w:t>
      </w:r>
    </w:p>
    <w:p w14:paraId="4943FD4C">
      <w:pPr>
        <w:pStyle w:val="5"/>
      </w:pPr>
      <w:r>
        <w:rPr>
          <w:rFonts w:hint="eastAsia"/>
        </w:rPr>
        <w:t>后续业务处理</w:t>
      </w:r>
    </w:p>
    <w:p w14:paraId="38570F9B">
      <w:pPr>
        <w:pStyle w:val="44"/>
        <w:spacing w:before="120" w:after="120"/>
        <w:ind w:firstLine="480"/>
      </w:pPr>
      <w:r>
        <w:rPr>
          <w:rFonts w:hint="eastAsia"/>
        </w:rPr>
        <w:t>不涉及。</w:t>
      </w:r>
    </w:p>
    <w:p w14:paraId="3D57E56C">
      <w:pPr>
        <w:pStyle w:val="5"/>
      </w:pPr>
      <w:r>
        <w:rPr>
          <w:rFonts w:hint="eastAsia"/>
        </w:rPr>
        <w:t>异常及备注处理</w:t>
      </w:r>
    </w:p>
    <w:p w14:paraId="407D0CC1">
      <w:pPr>
        <w:pStyle w:val="34"/>
        <w:numPr>
          <w:ilvl w:val="0"/>
          <w:numId w:val="30"/>
        </w:numPr>
        <w:ind w:firstLineChars="0"/>
        <w:rPr>
          <w:sz w:val="24"/>
          <w:szCs w:val="28"/>
        </w:rPr>
      </w:pPr>
      <w:r>
        <w:rPr>
          <w:rFonts w:hint="eastAsia"/>
          <w:sz w:val="24"/>
          <w:szCs w:val="28"/>
        </w:rPr>
        <w:t>应用调取数据出错时，需将异常信息记录到日志文件中，以便开发人员分析和调试。</w:t>
      </w:r>
    </w:p>
    <w:p w14:paraId="376F969A"/>
    <w:p w14:paraId="7B202394">
      <w:pPr>
        <w:pStyle w:val="4"/>
      </w:pPr>
      <w:bookmarkStart w:id="60" w:name="_Toc27603"/>
      <w:bookmarkStart w:id="61" w:name="_Toc184053282"/>
      <w:bookmarkStart w:id="62" w:name="_Toc182934355"/>
      <w:bookmarkStart w:id="63" w:name="_Toc181971952"/>
      <w:bookmarkStart w:id="64" w:name="_Toc4629"/>
      <w:r>
        <w:rPr>
          <w:rFonts w:hint="eastAsia"/>
        </w:rPr>
        <w:t>风险管理与分析</w:t>
      </w:r>
      <w:bookmarkEnd w:id="60"/>
      <w:bookmarkEnd w:id="61"/>
      <w:bookmarkEnd w:id="62"/>
      <w:bookmarkEnd w:id="63"/>
      <w:bookmarkEnd w:id="64"/>
    </w:p>
    <w:p w14:paraId="04D4CE66">
      <w:pPr>
        <w:pStyle w:val="5"/>
      </w:pPr>
      <w:r>
        <w:rPr>
          <w:rFonts w:hint="eastAsia"/>
        </w:rPr>
        <w:t>功能描述</w:t>
      </w:r>
    </w:p>
    <w:p w14:paraId="652959A4">
      <w:pPr>
        <w:rPr>
          <w:sz w:val="24"/>
          <w:szCs w:val="28"/>
        </w:rPr>
      </w:pPr>
      <w:r>
        <w:rPr>
          <w:rFonts w:hint="eastAsia"/>
          <w:sz w:val="24"/>
          <w:szCs w:val="28"/>
        </w:rPr>
        <w:t>风险管理与分析功能应包括：</w:t>
      </w:r>
    </w:p>
    <w:p w14:paraId="7256EFC7">
      <w:pPr>
        <w:pStyle w:val="44"/>
        <w:spacing w:before="120" w:after="120"/>
        <w:ind w:firstLine="482"/>
        <w:rPr>
          <w:b/>
          <w:bCs/>
        </w:rPr>
      </w:pPr>
      <w:r>
        <w:rPr>
          <w:rFonts w:hint="eastAsia"/>
          <w:b/>
          <w:bCs/>
        </w:rPr>
        <w:t>1）现金流分析</w:t>
      </w:r>
    </w:p>
    <w:p w14:paraId="7D43F2C5">
      <w:pPr>
        <w:pStyle w:val="44"/>
        <w:spacing w:before="120" w:after="120"/>
        <w:ind w:firstLine="480"/>
      </w:pPr>
      <w:r>
        <w:rPr>
          <w:rFonts w:hint="eastAsia" w:cs="仿宋_GB2312" w:asciiTheme="minorEastAsia" w:hAnsiTheme="minorEastAsia" w:eastAsiaTheme="minorEastAsia"/>
          <w:color w:val="000000" w:themeColor="text1"/>
          <w:kern w:val="0"/>
          <w:szCs w:val="24"/>
          <w14:textFill>
            <w14:solidFill>
              <w14:schemeClr w14:val="tx1"/>
            </w14:solidFill>
          </w14:textFill>
        </w:rPr>
        <w:t>需要提供</w:t>
      </w:r>
      <w:r>
        <w:rPr>
          <w:rFonts w:hint="eastAsia"/>
        </w:rPr>
        <w:t>现金流分析功能模块来辅助交易员方便进行未来现金流追踪与报告的工具，支持用户详细记录和分析固收资产现金流入和流出，包括利息收入、本金偿还等。</w:t>
      </w:r>
    </w:p>
    <w:p w14:paraId="333DDB66">
      <w:pPr>
        <w:pStyle w:val="44"/>
        <w:spacing w:before="120" w:after="120"/>
        <w:ind w:firstLine="480"/>
      </w:pPr>
      <w:r>
        <w:rPr>
          <w:rFonts w:hint="eastAsia"/>
        </w:rPr>
        <w:t>同时，该功能应包含未来现金流计算，帮助交易员规划资金使用和维护流动性，多维度分析视图允许用户从不同角度洞察现金流动向，无论是时间、资产类别还是投资组合划分，均能提供深入的现金流分析。</w:t>
      </w:r>
    </w:p>
    <w:p w14:paraId="16DF37B6">
      <w:pPr>
        <w:pStyle w:val="44"/>
        <w:spacing w:before="120" w:after="120"/>
        <w:ind w:firstLine="482"/>
        <w:rPr>
          <w:b/>
          <w:bCs/>
        </w:rPr>
      </w:pPr>
      <w:r>
        <w:rPr>
          <w:rFonts w:hint="eastAsia"/>
          <w:b/>
          <w:bCs/>
        </w:rPr>
        <w:t>2）利率DV01分析</w:t>
      </w:r>
    </w:p>
    <w:p w14:paraId="593E283E">
      <w:pPr>
        <w:pStyle w:val="44"/>
        <w:spacing w:before="120" w:after="120"/>
        <w:ind w:firstLine="480"/>
      </w:pPr>
      <w:r>
        <w:rPr>
          <w:rFonts w:hint="eastAsia"/>
        </w:rPr>
        <w:t>固收投组DV01模块在利率风险管理方面</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提供全面的DV01敞口分析功能，为交易员及投资经理提供专业的利率风险度量工具，</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支持以下系列功能：</w:t>
      </w:r>
    </w:p>
    <w:p w14:paraId="0A00DF5B">
      <w:pPr>
        <w:pStyle w:val="44"/>
        <w:numPr>
          <w:ilvl w:val="0"/>
          <w:numId w:val="31"/>
        </w:numPr>
        <w:spacing w:before="120" w:after="120"/>
        <w:ind w:firstLineChars="0"/>
      </w:pPr>
      <w:r>
        <w:rPr>
          <w:rFonts w:hint="eastAsia"/>
        </w:rPr>
        <w:t>账户</w:t>
      </w:r>
      <w:r>
        <w:t>/</w:t>
      </w:r>
      <w:r>
        <w:rPr>
          <w:rFonts w:hint="eastAsia"/>
        </w:rPr>
        <w:t>组合整体和分层分析</w:t>
      </w:r>
    </w:p>
    <w:p w14:paraId="51313536">
      <w:pPr>
        <w:pStyle w:val="44"/>
        <w:spacing w:before="120" w:after="120"/>
        <w:ind w:firstLine="480"/>
      </w:pPr>
      <w:r>
        <w:rPr>
          <w:rFonts w:hint="eastAsia"/>
        </w:rPr>
        <w:t>该模块不仅支持整体组合层面的DV01分析，还能够深入到各个子组合或单一债券标的</w:t>
      </w:r>
      <w:r>
        <w:rPr>
          <w:rFonts w:hint="eastAsia"/>
          <w:lang w:eastAsia="zh-CN"/>
        </w:rPr>
        <w:t>、</w:t>
      </w:r>
      <w:r>
        <w:rPr>
          <w:rFonts w:hint="eastAsia"/>
          <w:lang w:val="en-US" w:eastAsia="zh-CN"/>
        </w:rPr>
        <w:t>单子衍生品合约</w:t>
      </w:r>
      <w:r>
        <w:rPr>
          <w:rFonts w:hint="eastAsia"/>
        </w:rPr>
        <w:t>层面。通过详细的DV01分解，交易员可以识别和量化每个子组合或单一标的对整体利率风险的贡献。</w:t>
      </w:r>
    </w:p>
    <w:p w14:paraId="0946DA97">
      <w:pPr>
        <w:pStyle w:val="44"/>
        <w:numPr>
          <w:ilvl w:val="0"/>
          <w:numId w:val="32"/>
        </w:numPr>
        <w:spacing w:before="120" w:after="120"/>
        <w:ind w:firstLineChars="0"/>
      </w:pPr>
      <w:r>
        <w:rPr>
          <w:rFonts w:hint="eastAsia"/>
        </w:rPr>
        <w:t>利率曲线关键期限点分析</w:t>
      </w:r>
    </w:p>
    <w:p w14:paraId="0BE7F508">
      <w:pPr>
        <w:pStyle w:val="44"/>
        <w:spacing w:before="120" w:after="120"/>
        <w:ind w:firstLine="480"/>
      </w:pPr>
      <w:r>
        <w:rPr>
          <w:rFonts w:hint="eastAsia"/>
        </w:rPr>
        <w:t>系统支持对不同利率曲线各个关键期限点的DV01计算和分析。</w:t>
      </w:r>
    </w:p>
    <w:p w14:paraId="5CBA10A9">
      <w:pPr>
        <w:pStyle w:val="44"/>
        <w:numPr>
          <w:ilvl w:val="0"/>
          <w:numId w:val="33"/>
        </w:numPr>
        <w:spacing w:before="120" w:after="120"/>
        <w:ind w:firstLineChars="0"/>
      </w:pPr>
      <w:r>
        <w:rPr>
          <w:rFonts w:hint="eastAsia"/>
        </w:rPr>
        <w:t>综合风险指标整合</w:t>
      </w:r>
    </w:p>
    <w:p w14:paraId="5809ECA5">
      <w:pPr>
        <w:pStyle w:val="44"/>
        <w:spacing w:before="120" w:after="120"/>
        <w:ind w:firstLine="480"/>
      </w:pPr>
      <w:r>
        <w:rPr>
          <w:rFonts w:hint="eastAsia"/>
        </w:rPr>
        <w:t>为了确保交易员在制定策略时能够全面考虑各种风险因素，组合DV01模块还应支持与其他关键风险指标（如久期、凸性等）的对比和整合。通过将DV01与久期、凸性等指标结合，系统能够提供更加全面的风险评估和管理工具，帮助交易员在不同市场环境下做出更为明智的投资决策。</w:t>
      </w:r>
    </w:p>
    <w:p w14:paraId="343445A1">
      <w:pPr>
        <w:pStyle w:val="44"/>
        <w:spacing w:before="120" w:after="120"/>
        <w:ind w:firstLine="482"/>
        <w:rPr>
          <w:b/>
          <w:bCs/>
        </w:rPr>
      </w:pPr>
      <w:r>
        <w:rPr>
          <w:rFonts w:hint="eastAsia"/>
          <w:b/>
          <w:bCs/>
        </w:rPr>
        <w:t>3）情景分析</w:t>
      </w:r>
    </w:p>
    <w:p w14:paraId="63509195">
      <w:pPr>
        <w:pStyle w:val="44"/>
        <w:spacing w:before="120" w:after="120"/>
        <w:ind w:firstLine="480"/>
      </w:pPr>
      <w:r>
        <w:rPr>
          <w:rFonts w:hint="eastAsia"/>
        </w:rPr>
        <w:t>压力测试功能模块</w:t>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支持交易员基于历史重大事件下的市场状况对极端情景进行定义，并相应地对组合进行风险和压力分析。该模块需支持允许创建各类what-if模拟情景，包括但不限于历史极端情景、专家建议情景、监管情景等多种风险因素变化的复杂场景，以应对未来复杂的市场环境。</w:t>
      </w:r>
    </w:p>
    <w:p w14:paraId="42B1CEE7">
      <w:pPr>
        <w:pStyle w:val="44"/>
        <w:spacing w:before="120" w:after="120"/>
        <w:ind w:firstLine="480"/>
      </w:pPr>
      <w:r>
        <w:rPr>
          <w:rFonts w:hint="eastAsia"/>
        </w:rPr>
        <w:t>敏感性分析：基于无风险收益率曲线变动、再投资利率及融资成本变化，对组合利率风险的敏感性分析。</w:t>
      </w:r>
    </w:p>
    <w:p w14:paraId="62714CCC">
      <w:pPr>
        <w:pStyle w:val="44"/>
        <w:spacing w:before="120" w:after="120"/>
        <w:ind w:firstLine="480"/>
      </w:pPr>
      <w:r>
        <w:rPr>
          <w:rFonts w:hint="eastAsia"/>
        </w:rPr>
        <w:t>情景分析：基于多资产风险模型，通过设定因子收益变化情景对组合收益特征的情景分析。</w:t>
      </w:r>
    </w:p>
    <w:p w14:paraId="45EF7C7D">
      <w:pPr>
        <w:pStyle w:val="44"/>
        <w:spacing w:before="120" w:after="120"/>
        <w:ind w:firstLine="480"/>
      </w:pPr>
      <w:r>
        <w:rPr>
          <w:rFonts w:hint="eastAsia"/>
        </w:rPr>
        <w:t>压力测试（Stress Test）: 系统支持模拟市场利率曲线的发生平移或扭转的不同变化情况下的组合的风险分析。</w:t>
      </w:r>
    </w:p>
    <w:p w14:paraId="73013C23">
      <w:pPr>
        <w:pStyle w:val="44"/>
        <w:spacing w:before="120" w:after="120"/>
        <w:ind w:firstLine="480"/>
      </w:pPr>
      <w:r>
        <w:rPr>
          <w:rFonts w:hint="eastAsia"/>
        </w:rPr>
        <w:t>自定义情景设定：支持在已有情景模板上根据投资人对市场的波动理解，对债券评级/行业/券种等变动进行情景叠加，保存模板并进行组合测算。</w:t>
      </w:r>
    </w:p>
    <w:p w14:paraId="078B5A84">
      <w:pPr>
        <w:pStyle w:val="5"/>
      </w:pPr>
      <w:r>
        <w:rPr>
          <w:rFonts w:hint="eastAsia"/>
        </w:rPr>
        <w:t>操作权限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79"/>
        <w:gridCol w:w="2883"/>
        <w:gridCol w:w="4358"/>
      </w:tblGrid>
      <w:tr w14:paraId="4540FF47">
        <w:trPr>
          <w:tblHeader/>
          <w:jc w:val="center"/>
        </w:trPr>
        <w:tc>
          <w:tcPr>
            <w:tcW w:w="848" w:type="pct"/>
            <w:shd w:val="clear" w:color="auto" w:fill="E7E6E6" w:themeFill="background2"/>
          </w:tcPr>
          <w:p w14:paraId="45418D3C">
            <w:pPr>
              <w:jc w:val="center"/>
              <w:rPr>
                <w:b/>
              </w:rPr>
            </w:pPr>
            <w:r>
              <w:rPr>
                <w:rFonts w:hint="eastAsia"/>
                <w:b/>
              </w:rPr>
              <w:t>类型</w:t>
            </w:r>
          </w:p>
        </w:tc>
        <w:tc>
          <w:tcPr>
            <w:tcW w:w="1653" w:type="pct"/>
            <w:shd w:val="clear" w:color="auto" w:fill="E7E6E6" w:themeFill="background2"/>
          </w:tcPr>
          <w:p w14:paraId="521B8BCE">
            <w:pPr>
              <w:jc w:val="center"/>
              <w:rPr>
                <w:b/>
              </w:rPr>
            </w:pPr>
            <w:r>
              <w:rPr>
                <w:rFonts w:hint="eastAsia"/>
                <w:b/>
              </w:rPr>
              <w:t>用户岗位描述</w:t>
            </w:r>
          </w:p>
        </w:tc>
        <w:tc>
          <w:tcPr>
            <w:tcW w:w="2498" w:type="pct"/>
            <w:shd w:val="clear" w:color="auto" w:fill="E7E6E6" w:themeFill="background2"/>
          </w:tcPr>
          <w:p w14:paraId="43EDE059">
            <w:pPr>
              <w:jc w:val="center"/>
              <w:rPr>
                <w:b/>
              </w:rPr>
            </w:pPr>
            <w:r>
              <w:rPr>
                <w:rFonts w:hint="eastAsia"/>
                <w:b/>
              </w:rPr>
              <w:t>菜单归属或访问路径</w:t>
            </w:r>
          </w:p>
        </w:tc>
      </w:tr>
      <w:tr w14:paraId="628C95D3">
        <w:trPr>
          <w:jc w:val="center"/>
        </w:trPr>
        <w:tc>
          <w:tcPr>
            <w:tcW w:w="848" w:type="pct"/>
          </w:tcPr>
          <w:p w14:paraId="41BA4540">
            <w:r>
              <w:rPr>
                <w:rFonts w:hint="eastAsia"/>
              </w:rPr>
              <w:t>行内员工</w:t>
            </w:r>
          </w:p>
        </w:tc>
        <w:tc>
          <w:tcPr>
            <w:tcW w:w="1653" w:type="pct"/>
          </w:tcPr>
          <w:p w14:paraId="5000207C"/>
        </w:tc>
        <w:tc>
          <w:tcPr>
            <w:tcW w:w="2498" w:type="pct"/>
          </w:tcPr>
          <w:p w14:paraId="4199D615"/>
        </w:tc>
      </w:tr>
    </w:tbl>
    <w:p w14:paraId="13B787D8">
      <w:pPr>
        <w:pStyle w:val="5"/>
      </w:pPr>
      <w:r>
        <w:rPr>
          <w:rFonts w:hint="eastAsia"/>
        </w:rPr>
        <w:t>操作步骤</w:t>
      </w:r>
    </w:p>
    <w:p w14:paraId="298057A9">
      <w:r>
        <w:rPr>
          <w:rFonts w:hint="eastAsia"/>
          <w:sz w:val="24"/>
        </w:rPr>
        <w:t>系统需支持交易员可以做如下相关操作</w:t>
      </w:r>
    </w:p>
    <w:p w14:paraId="4025CE06">
      <w:pPr>
        <w:pStyle w:val="44"/>
        <w:numPr>
          <w:ilvl w:val="0"/>
          <w:numId w:val="34"/>
        </w:numPr>
        <w:spacing w:before="120" w:after="120"/>
        <w:ind w:firstLineChars="0"/>
      </w:pPr>
      <w:r>
        <w:rPr>
          <w:rFonts w:hint="eastAsia"/>
        </w:rPr>
        <w:t>选择需要分析的特定投资组合</w:t>
      </w:r>
    </w:p>
    <w:p w14:paraId="3D6F4EFB">
      <w:pPr>
        <w:pStyle w:val="44"/>
        <w:numPr>
          <w:ilvl w:val="0"/>
          <w:numId w:val="34"/>
        </w:numPr>
        <w:spacing w:before="120" w:after="120"/>
        <w:ind w:firstLineChars="0"/>
      </w:pPr>
      <w:r>
        <w:rPr>
          <w:rFonts w:hint="eastAsia"/>
        </w:rPr>
        <w:t>现金流分析：筛选不同的时间区间，通过图表等可视化模块组件，查看该组合的交易现金流</w:t>
      </w:r>
    </w:p>
    <w:p w14:paraId="5FB3439F">
      <w:pPr>
        <w:pStyle w:val="44"/>
        <w:numPr>
          <w:ilvl w:val="0"/>
          <w:numId w:val="34"/>
        </w:numPr>
        <w:spacing w:before="120" w:after="120"/>
        <w:ind w:firstLineChars="0"/>
      </w:pPr>
      <w:r>
        <w:rPr>
          <w:rFonts w:hint="eastAsia"/>
        </w:rPr>
        <w:t>利率DV01分析：对于债券和不同的</w:t>
      </w:r>
      <w:r>
        <w:rPr>
          <w:rFonts w:hint="eastAsia"/>
          <w:lang w:val="en-US" w:eastAsia="zh-CN"/>
        </w:rPr>
        <w:t>利率</w:t>
      </w:r>
      <w:r>
        <w:rPr>
          <w:rFonts w:hint="eastAsia"/>
        </w:rPr>
        <w:t>衍生品组合，以表格和柱状图的形式查看不同期限下的DV01。</w:t>
      </w:r>
    </w:p>
    <w:p w14:paraId="39FE299A">
      <w:pPr>
        <w:pStyle w:val="44"/>
        <w:numPr>
          <w:ilvl w:val="0"/>
          <w:numId w:val="34"/>
        </w:numPr>
        <w:spacing w:before="120" w:after="120"/>
        <w:ind w:firstLineChars="0"/>
      </w:pPr>
      <w:r>
        <w:rPr>
          <w:rFonts w:hint="eastAsia"/>
        </w:rPr>
        <w:t>情景分析：选择不同的历史场景，查看组合在历史场景下的表现情况和收益情况，同时查看市场对于模拟历史场景下的利率收益率曲线变动情况，信用曲线变动情况，利率互换曲线变动情况</w:t>
      </w:r>
    </w:p>
    <w:p w14:paraId="4FD2F458">
      <w:pPr>
        <w:pStyle w:val="44"/>
        <w:numPr>
          <w:ilvl w:val="0"/>
          <w:numId w:val="34"/>
        </w:numPr>
        <w:spacing w:before="120" w:after="120"/>
        <w:ind w:firstLineChars="0"/>
      </w:pPr>
      <w:r>
        <w:rPr>
          <w:rFonts w:hint="eastAsia"/>
        </w:rPr>
        <w:t>情景分析：选择自定义情景设定，通过调整利率收益率曲线变动情况，信用收益变动情况，利率互换曲线变动情况来模拟历史情况</w:t>
      </w:r>
    </w:p>
    <w:p w14:paraId="52342C8A">
      <w:pPr>
        <w:pStyle w:val="44"/>
        <w:numPr>
          <w:ilvl w:val="0"/>
          <w:numId w:val="34"/>
        </w:numPr>
        <w:spacing w:before="120" w:after="120"/>
        <w:ind w:firstLineChars="0"/>
      </w:pPr>
      <w:r>
        <w:rPr>
          <w:rFonts w:hint="eastAsia"/>
        </w:rPr>
        <w:t>情景分析：选择组合测算，查看不同组合对于历史场景的变动情况，查看市场变化、组合总盈亏等衍生指标</w:t>
      </w:r>
    </w:p>
    <w:p w14:paraId="670DA5CB">
      <w:pPr>
        <w:pStyle w:val="5"/>
      </w:pPr>
      <w:r>
        <w:rPr>
          <w:rFonts w:hint="eastAsia"/>
        </w:rPr>
        <w:t>用户界面</w:t>
      </w:r>
    </w:p>
    <w:p w14:paraId="2E86C4E7">
      <w:pPr>
        <w:pStyle w:val="6"/>
      </w:pPr>
      <w:r>
        <w:rPr>
          <w:rFonts w:hint="eastAsia"/>
        </w:rPr>
        <w:t>界面示意图</w:t>
      </w:r>
    </w:p>
    <w:p w14:paraId="6B7BAB53">
      <w:r>
        <w:drawing>
          <wp:inline distT="0" distB="0" distL="0" distR="0">
            <wp:extent cx="5400040" cy="3020060"/>
            <wp:effectExtent l="0" t="0" r="0" b="8890"/>
            <wp:docPr id="82615825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58258" name="图片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5C647A8E">
      <w:pPr>
        <w:jc w:val="center"/>
        <w:rPr>
          <w:sz w:val="24"/>
          <w:szCs w:val="28"/>
        </w:rPr>
      </w:pPr>
      <w:r>
        <w:rPr>
          <w:rFonts w:hint="eastAsia"/>
          <w:sz w:val="24"/>
          <w:szCs w:val="28"/>
        </w:rPr>
        <w:t>现金流分析</w:t>
      </w:r>
    </w:p>
    <w:p w14:paraId="78CEA5BC">
      <w:pPr>
        <w:pStyle w:val="44"/>
        <w:spacing w:before="120" w:after="120"/>
        <w:ind w:firstLine="480"/>
      </w:pPr>
      <w:r>
        <w:drawing>
          <wp:inline distT="0" distB="0" distL="0" distR="0">
            <wp:extent cx="5400040" cy="3020060"/>
            <wp:effectExtent l="0" t="0" r="0" b="8890"/>
            <wp:docPr id="1190757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705" name="图片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43F4B3F5">
      <w:pPr>
        <w:pStyle w:val="44"/>
        <w:spacing w:before="120" w:after="120"/>
        <w:ind w:firstLine="480"/>
        <w:jc w:val="center"/>
      </w:pPr>
      <w:r>
        <w:rPr>
          <w:rFonts w:hint="eastAsia"/>
        </w:rPr>
        <w:t>利率DV01分析</w:t>
      </w:r>
    </w:p>
    <w:p w14:paraId="1EDDFAEF">
      <w:pPr>
        <w:pStyle w:val="44"/>
        <w:spacing w:before="120" w:after="120"/>
        <w:ind w:firstLine="480"/>
        <w:jc w:val="center"/>
      </w:pPr>
      <w:r>
        <w:drawing>
          <wp:inline distT="0" distB="0" distL="0" distR="0">
            <wp:extent cx="5400040" cy="3020060"/>
            <wp:effectExtent l="0" t="0" r="0" b="8890"/>
            <wp:docPr id="17093990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99067" name="图片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400040" cy="3020060"/>
                    </a:xfrm>
                    <a:prstGeom prst="rect">
                      <a:avLst/>
                    </a:prstGeom>
                    <a:noFill/>
                    <a:ln>
                      <a:noFill/>
                    </a:ln>
                  </pic:spPr>
                </pic:pic>
              </a:graphicData>
            </a:graphic>
          </wp:inline>
        </w:drawing>
      </w:r>
    </w:p>
    <w:p w14:paraId="4063A94B">
      <w:pPr>
        <w:pStyle w:val="44"/>
        <w:spacing w:before="120" w:after="120"/>
        <w:ind w:firstLine="480"/>
        <w:jc w:val="center"/>
      </w:pPr>
      <w:r>
        <w:rPr>
          <w:rFonts w:hint="eastAsia"/>
        </w:rPr>
        <w:t>情景分析</w:t>
      </w:r>
    </w:p>
    <w:p w14:paraId="171ED594">
      <w:pPr>
        <w:pStyle w:val="44"/>
        <w:spacing w:before="120" w:after="120"/>
        <w:ind w:firstLine="482"/>
        <w:rPr>
          <w:b/>
        </w:rPr>
      </w:pPr>
      <w:r>
        <w:rPr>
          <w:rFonts w:hint="eastAsia"/>
          <w:b/>
        </w:rPr>
        <w:t>界面布局要求与说明：</w:t>
      </w:r>
    </w:p>
    <w:p w14:paraId="08AA8545">
      <w:pPr>
        <w:pStyle w:val="44"/>
        <w:spacing w:before="120" w:after="120"/>
        <w:ind w:firstLine="480"/>
        <w:rPr>
          <w:bCs/>
        </w:rPr>
      </w:pPr>
      <w:r>
        <w:rPr>
          <w:rFonts w:hint="eastAsia"/>
          <w:bCs/>
        </w:rPr>
        <w:t>该功能模块需要包含多个子页面，子页面可以快速切换并包含以下功能点：</w:t>
      </w:r>
    </w:p>
    <w:p w14:paraId="7FBEBBF3">
      <w:pPr>
        <w:pStyle w:val="44"/>
        <w:numPr>
          <w:ilvl w:val="0"/>
          <w:numId w:val="35"/>
        </w:numPr>
        <w:spacing w:before="120" w:after="120"/>
        <w:ind w:firstLineChars="0"/>
        <w:rPr>
          <w:bCs/>
        </w:rPr>
      </w:pPr>
      <w:r>
        <w:rPr>
          <w:rFonts w:hint="eastAsia"/>
          <w:bCs/>
        </w:rPr>
        <w:t>模块选择区域：</w:t>
      </w:r>
      <w:r>
        <w:rPr>
          <w:bCs/>
        </w:rPr>
        <w:t>提供清晰的标签或下拉菜单，让用户选择不同的分析模块，如“</w:t>
      </w:r>
      <w:r>
        <w:rPr>
          <w:rFonts w:hint="eastAsia"/>
          <w:bCs/>
        </w:rPr>
        <w:t>现金流分析</w:t>
      </w:r>
      <w:r>
        <w:rPr>
          <w:bCs/>
        </w:rPr>
        <w:t>”、“</w:t>
      </w:r>
      <w:r>
        <w:rPr>
          <w:rFonts w:hint="eastAsia"/>
          <w:bCs/>
        </w:rPr>
        <w:t>利率DV01分析</w:t>
      </w:r>
      <w:r>
        <w:rPr>
          <w:bCs/>
        </w:rPr>
        <w:t>”、“</w:t>
      </w:r>
      <w:r>
        <w:rPr>
          <w:rFonts w:hint="eastAsia"/>
          <w:bCs/>
        </w:rPr>
        <w:t>情景分析</w:t>
      </w:r>
      <w:r>
        <w:rPr>
          <w:bCs/>
        </w:rPr>
        <w:t>”</w:t>
      </w:r>
    </w:p>
    <w:p w14:paraId="287C9FA8">
      <w:pPr>
        <w:widowControl/>
        <w:numPr>
          <w:ilvl w:val="0"/>
          <w:numId w:val="35"/>
        </w:numPr>
        <w:spacing w:line="360" w:lineRule="atLeast"/>
        <w:jc w:val="left"/>
        <w:rPr>
          <w:bCs/>
          <w:sz w:val="24"/>
        </w:rPr>
      </w:pPr>
      <w:r>
        <w:rPr>
          <w:rFonts w:hint="eastAsia"/>
          <w:bCs/>
          <w:sz w:val="24"/>
        </w:rPr>
        <w:t>现金流分析</w:t>
      </w:r>
      <w:r>
        <w:rPr>
          <w:bCs/>
          <w:sz w:val="24"/>
        </w:rPr>
        <w:t>区域：</w:t>
      </w:r>
    </w:p>
    <w:p w14:paraId="48758C48">
      <w:pPr>
        <w:widowControl/>
        <w:numPr>
          <w:ilvl w:val="1"/>
          <w:numId w:val="35"/>
        </w:numPr>
        <w:spacing w:before="100" w:beforeAutospacing="1" w:after="100" w:afterAutospacing="1" w:line="360" w:lineRule="atLeast"/>
        <w:jc w:val="left"/>
        <w:rPr>
          <w:bCs/>
          <w:sz w:val="24"/>
        </w:rPr>
      </w:pPr>
      <w:r>
        <w:rPr>
          <w:bCs/>
          <w:sz w:val="24"/>
        </w:rPr>
        <w:t>提供一个日历控件，允许用户选择分析的日期或时间段。</w:t>
      </w:r>
    </w:p>
    <w:p w14:paraId="4132C961">
      <w:pPr>
        <w:widowControl/>
        <w:numPr>
          <w:ilvl w:val="1"/>
          <w:numId w:val="35"/>
        </w:numPr>
        <w:spacing w:before="100" w:beforeAutospacing="1" w:after="100" w:afterAutospacing="1" w:line="360" w:lineRule="atLeast"/>
        <w:jc w:val="left"/>
        <w:rPr>
          <w:bCs/>
          <w:sz w:val="24"/>
        </w:rPr>
      </w:pPr>
      <w:r>
        <w:rPr>
          <w:bCs/>
          <w:sz w:val="24"/>
        </w:rPr>
        <w:t>展示</w:t>
      </w:r>
      <w:r>
        <w:rPr>
          <w:rFonts w:hint="eastAsia"/>
          <w:bCs/>
          <w:sz w:val="24"/>
        </w:rPr>
        <w:t>现金流</w:t>
      </w:r>
      <w:r>
        <w:rPr>
          <w:bCs/>
          <w:sz w:val="24"/>
        </w:rPr>
        <w:t>结果的表格，包括</w:t>
      </w:r>
      <w:r>
        <w:rPr>
          <w:rFonts w:hint="eastAsia"/>
          <w:bCs/>
          <w:sz w:val="24"/>
        </w:rPr>
        <w:t>现金流分析</w:t>
      </w:r>
      <w:r>
        <w:rPr>
          <w:bCs/>
          <w:sz w:val="24"/>
        </w:rPr>
        <w:t>等。</w:t>
      </w:r>
    </w:p>
    <w:p w14:paraId="1397C024">
      <w:pPr>
        <w:widowControl/>
        <w:numPr>
          <w:ilvl w:val="1"/>
          <w:numId w:val="35"/>
        </w:numPr>
        <w:spacing w:before="100" w:beforeAutospacing="1" w:after="100" w:afterAutospacing="1" w:line="360" w:lineRule="atLeast"/>
        <w:jc w:val="left"/>
        <w:rPr>
          <w:bCs/>
          <w:sz w:val="24"/>
        </w:rPr>
      </w:pPr>
      <w:r>
        <w:rPr>
          <w:bCs/>
          <w:sz w:val="24"/>
        </w:rPr>
        <w:t>提供</w:t>
      </w:r>
      <w:r>
        <w:rPr>
          <w:rFonts w:hint="eastAsia"/>
          <w:bCs/>
          <w:sz w:val="24"/>
        </w:rPr>
        <w:t>现金流分析</w:t>
      </w:r>
      <w:r>
        <w:rPr>
          <w:bCs/>
          <w:sz w:val="24"/>
        </w:rPr>
        <w:t>图表，如柱状图、折线图等。</w:t>
      </w:r>
    </w:p>
    <w:p w14:paraId="7336A764">
      <w:pPr>
        <w:widowControl/>
        <w:numPr>
          <w:ilvl w:val="0"/>
          <w:numId w:val="35"/>
        </w:numPr>
        <w:spacing w:line="360" w:lineRule="atLeast"/>
        <w:jc w:val="left"/>
        <w:rPr>
          <w:bCs/>
          <w:sz w:val="24"/>
        </w:rPr>
      </w:pPr>
      <w:r>
        <w:rPr>
          <w:rFonts w:hint="eastAsia"/>
          <w:bCs/>
          <w:sz w:val="24"/>
        </w:rPr>
        <w:t>利率DV01分析</w:t>
      </w:r>
      <w:r>
        <w:rPr>
          <w:bCs/>
          <w:sz w:val="24"/>
        </w:rPr>
        <w:t>区域：</w:t>
      </w:r>
    </w:p>
    <w:p w14:paraId="098227DF">
      <w:pPr>
        <w:widowControl/>
        <w:numPr>
          <w:ilvl w:val="1"/>
          <w:numId w:val="35"/>
        </w:numPr>
        <w:spacing w:before="100" w:beforeAutospacing="1" w:after="100" w:afterAutospacing="1" w:line="360" w:lineRule="atLeast"/>
        <w:jc w:val="left"/>
        <w:rPr>
          <w:bCs/>
          <w:sz w:val="24"/>
        </w:rPr>
      </w:pPr>
      <w:r>
        <w:rPr>
          <w:bCs/>
          <w:sz w:val="24"/>
        </w:rPr>
        <w:t>提供一个界面</w:t>
      </w:r>
      <w:r>
        <w:rPr>
          <w:rFonts w:hint="eastAsia"/>
          <w:bCs/>
          <w:sz w:val="24"/>
        </w:rPr>
        <w:t>允许用户选择整体组合或特定子组合</w:t>
      </w:r>
    </w:p>
    <w:p w14:paraId="5EF0AB5E">
      <w:pPr>
        <w:widowControl/>
        <w:numPr>
          <w:ilvl w:val="1"/>
          <w:numId w:val="35"/>
        </w:numPr>
        <w:spacing w:before="100" w:beforeAutospacing="1" w:after="100" w:afterAutospacing="1" w:line="360" w:lineRule="atLeast"/>
        <w:jc w:val="left"/>
        <w:rPr>
          <w:bCs/>
          <w:sz w:val="24"/>
        </w:rPr>
      </w:pPr>
      <w:r>
        <w:rPr>
          <w:rFonts w:hint="eastAsia"/>
          <w:bCs/>
          <w:sz w:val="24"/>
        </w:rPr>
        <w:t>DV01分解视图：展示DV01分解的详细视图</w:t>
      </w:r>
    </w:p>
    <w:p w14:paraId="6AD54C64">
      <w:pPr>
        <w:widowControl/>
        <w:numPr>
          <w:ilvl w:val="1"/>
          <w:numId w:val="35"/>
        </w:numPr>
        <w:spacing w:before="100" w:beforeAutospacing="1" w:after="100" w:afterAutospacing="1" w:line="360" w:lineRule="atLeast"/>
        <w:jc w:val="left"/>
        <w:rPr>
          <w:bCs/>
          <w:sz w:val="24"/>
        </w:rPr>
      </w:pPr>
      <w:r>
        <w:rPr>
          <w:rFonts w:hint="eastAsia"/>
          <w:bCs/>
          <w:sz w:val="24"/>
        </w:rPr>
        <w:t>关键期限点分析区域：展示不同利率曲线关键期限点的DV01分析</w:t>
      </w:r>
    </w:p>
    <w:p w14:paraId="2202B975">
      <w:pPr>
        <w:widowControl/>
        <w:numPr>
          <w:ilvl w:val="1"/>
          <w:numId w:val="35"/>
        </w:numPr>
        <w:spacing w:before="100" w:beforeAutospacing="1" w:after="100" w:afterAutospacing="1" w:line="360" w:lineRule="atLeast"/>
        <w:jc w:val="left"/>
        <w:rPr>
          <w:bCs/>
          <w:sz w:val="24"/>
        </w:rPr>
      </w:pPr>
      <w:r>
        <w:rPr>
          <w:rFonts w:hint="eastAsia"/>
          <w:bCs/>
          <w:sz w:val="24"/>
        </w:rPr>
        <w:t>支持切换债券和衍生品，支持选择不同的衍生品类型构建相应的曲线</w:t>
      </w:r>
    </w:p>
    <w:p w14:paraId="6B1501E7">
      <w:pPr>
        <w:widowControl/>
        <w:numPr>
          <w:ilvl w:val="0"/>
          <w:numId w:val="35"/>
        </w:numPr>
        <w:spacing w:line="360" w:lineRule="atLeast"/>
        <w:jc w:val="left"/>
        <w:rPr>
          <w:bCs/>
          <w:sz w:val="24"/>
        </w:rPr>
      </w:pPr>
      <w:r>
        <w:rPr>
          <w:rFonts w:hint="eastAsia"/>
          <w:bCs/>
          <w:sz w:val="24"/>
        </w:rPr>
        <w:t>情景分析</w:t>
      </w:r>
      <w:r>
        <w:rPr>
          <w:bCs/>
          <w:sz w:val="24"/>
        </w:rPr>
        <w:t>区域：</w:t>
      </w:r>
    </w:p>
    <w:p w14:paraId="6BE7FC2B">
      <w:pPr>
        <w:widowControl/>
        <w:numPr>
          <w:ilvl w:val="1"/>
          <w:numId w:val="35"/>
        </w:numPr>
        <w:spacing w:before="100" w:beforeAutospacing="1" w:after="100" w:afterAutospacing="1" w:line="360" w:lineRule="atLeast"/>
        <w:jc w:val="left"/>
        <w:rPr>
          <w:bCs/>
          <w:sz w:val="24"/>
        </w:rPr>
      </w:pPr>
      <w:r>
        <w:rPr>
          <w:rFonts w:hint="eastAsia"/>
          <w:bCs/>
          <w:sz w:val="24"/>
        </w:rPr>
        <w:t>提供一个界面用于选择不同的情景分析场景，支持筛选和查看相应情境下组合和市场的表现情况</w:t>
      </w:r>
    </w:p>
    <w:p w14:paraId="7B27E5E4">
      <w:pPr>
        <w:widowControl/>
        <w:numPr>
          <w:ilvl w:val="1"/>
          <w:numId w:val="35"/>
        </w:numPr>
        <w:spacing w:before="100" w:beforeAutospacing="1" w:after="100" w:afterAutospacing="1" w:line="360" w:lineRule="atLeast"/>
        <w:jc w:val="left"/>
        <w:rPr>
          <w:bCs/>
          <w:sz w:val="24"/>
        </w:rPr>
      </w:pPr>
      <w:r>
        <w:rPr>
          <w:rFonts w:hint="eastAsia"/>
          <w:bCs/>
          <w:sz w:val="24"/>
        </w:rPr>
        <w:t>压力测试模拟区域：提供表单或工具，允许用户定义what-if模拟情景，支持用户自定义调整曲线变动情况</w:t>
      </w:r>
    </w:p>
    <w:p w14:paraId="2CC536C4">
      <w:pPr>
        <w:widowControl/>
        <w:numPr>
          <w:ilvl w:val="1"/>
          <w:numId w:val="35"/>
        </w:numPr>
        <w:spacing w:before="100" w:beforeAutospacing="1" w:after="100" w:afterAutospacing="1" w:line="360" w:lineRule="atLeast"/>
        <w:jc w:val="left"/>
        <w:rPr>
          <w:bCs/>
          <w:sz w:val="24"/>
        </w:rPr>
      </w:pPr>
      <w:r>
        <w:rPr>
          <w:rFonts w:hint="eastAsia"/>
          <w:bCs/>
          <w:sz w:val="24"/>
        </w:rPr>
        <w:t>组合测算区域：查看不同组合对于历史场景的变动情况，查看市场变化、组合总盈亏等衍生指标</w:t>
      </w:r>
    </w:p>
    <w:p w14:paraId="0760610B">
      <w:pPr>
        <w:pStyle w:val="34"/>
        <w:numPr>
          <w:ilvl w:val="0"/>
          <w:numId w:val="35"/>
        </w:numPr>
        <w:ind w:firstLineChars="0"/>
        <w:rPr>
          <w:bCs/>
          <w:sz w:val="24"/>
        </w:rPr>
      </w:pPr>
      <w:r>
        <w:rPr>
          <w:rFonts w:hint="eastAsia"/>
          <w:bCs/>
          <w:sz w:val="24"/>
        </w:rPr>
        <w:t>支持风险管理与分析模块数据的修改与导出。</w:t>
      </w:r>
    </w:p>
    <w:p w14:paraId="38EEB74C">
      <w:pPr>
        <w:pStyle w:val="44"/>
        <w:numPr>
          <w:ilvl w:val="0"/>
          <w:numId w:val="35"/>
        </w:numPr>
        <w:spacing w:before="120" w:after="120"/>
        <w:ind w:firstLineChars="0"/>
      </w:pPr>
      <w:r>
        <w:rPr>
          <w:rFonts w:hint="eastAsia"/>
          <w:bCs/>
        </w:rPr>
        <w:t>交互式元素：图表和数据表格应支持交互操作，如点击查看详细数据，拖动调整大小等。</w:t>
      </w:r>
    </w:p>
    <w:p w14:paraId="507DE38C">
      <w:pPr>
        <w:pStyle w:val="6"/>
      </w:pPr>
      <w:r>
        <w:rPr>
          <w:rFonts w:hint="eastAsia"/>
        </w:rPr>
        <w:t>输入输出说明</w:t>
      </w:r>
    </w:p>
    <w:p w14:paraId="219240CC">
      <w:pPr>
        <w:pStyle w:val="7"/>
      </w:pPr>
      <w:r>
        <w:rPr>
          <w:rFonts w:hint="eastAsia"/>
        </w:rPr>
        <w:t>输入要素</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1891"/>
        <w:gridCol w:w="1602"/>
        <w:gridCol w:w="3639"/>
        <w:gridCol w:w="867"/>
      </w:tblGrid>
      <w:tr w14:paraId="43164550">
        <w:trPr>
          <w:tblHeader/>
          <w:jc w:val="center"/>
        </w:trPr>
        <w:tc>
          <w:tcPr>
            <w:tcW w:w="413" w:type="pct"/>
            <w:shd w:val="clear" w:color="auto" w:fill="E7E6E6" w:themeFill="background2"/>
          </w:tcPr>
          <w:p w14:paraId="6E0F8362">
            <w:pPr>
              <w:jc w:val="center"/>
              <w:rPr>
                <w:b/>
              </w:rPr>
            </w:pPr>
            <w:r>
              <w:rPr>
                <w:rFonts w:hint="eastAsia"/>
                <w:b/>
              </w:rPr>
              <w:t>序号</w:t>
            </w:r>
          </w:p>
        </w:tc>
        <w:tc>
          <w:tcPr>
            <w:tcW w:w="1084" w:type="pct"/>
            <w:shd w:val="clear" w:color="auto" w:fill="E7E6E6" w:themeFill="background2"/>
          </w:tcPr>
          <w:p w14:paraId="6D564993">
            <w:pPr>
              <w:jc w:val="center"/>
              <w:rPr>
                <w:b/>
              </w:rPr>
            </w:pPr>
            <w:r>
              <w:rPr>
                <w:rFonts w:hint="eastAsia"/>
                <w:b/>
              </w:rPr>
              <w:t>输入项</w:t>
            </w:r>
          </w:p>
        </w:tc>
        <w:tc>
          <w:tcPr>
            <w:tcW w:w="918" w:type="pct"/>
            <w:shd w:val="clear" w:color="auto" w:fill="E7E6E6" w:themeFill="background2"/>
          </w:tcPr>
          <w:p w14:paraId="74790A9D">
            <w:pPr>
              <w:jc w:val="center"/>
              <w:rPr>
                <w:b/>
              </w:rPr>
            </w:pPr>
            <w:r>
              <w:rPr>
                <w:rFonts w:hint="eastAsia"/>
                <w:b/>
              </w:rPr>
              <w:t>取值范围</w:t>
            </w:r>
          </w:p>
        </w:tc>
        <w:tc>
          <w:tcPr>
            <w:tcW w:w="2086" w:type="pct"/>
            <w:shd w:val="clear" w:color="auto" w:fill="E7E6E6" w:themeFill="background2"/>
          </w:tcPr>
          <w:p w14:paraId="31584572">
            <w:pPr>
              <w:jc w:val="center"/>
              <w:rPr>
                <w:b/>
              </w:rPr>
            </w:pPr>
            <w:r>
              <w:rPr>
                <w:rFonts w:hint="eastAsia"/>
                <w:b/>
              </w:rPr>
              <w:t>规则说明</w:t>
            </w:r>
          </w:p>
        </w:tc>
        <w:tc>
          <w:tcPr>
            <w:tcW w:w="497" w:type="pct"/>
            <w:shd w:val="clear" w:color="auto" w:fill="E7E6E6" w:themeFill="background2"/>
          </w:tcPr>
          <w:p w14:paraId="60C0C49D">
            <w:pPr>
              <w:jc w:val="center"/>
              <w:rPr>
                <w:b/>
              </w:rPr>
            </w:pPr>
            <w:r>
              <w:rPr>
                <w:rFonts w:hint="eastAsia"/>
                <w:b/>
              </w:rPr>
              <w:t>必输</w:t>
            </w:r>
          </w:p>
        </w:tc>
      </w:tr>
      <w:tr w14:paraId="1E9B564A">
        <w:trPr>
          <w:jc w:val="center"/>
        </w:trPr>
        <w:tc>
          <w:tcPr>
            <w:tcW w:w="413" w:type="pct"/>
          </w:tcPr>
          <w:p w14:paraId="6251B144">
            <w:pPr>
              <w:pStyle w:val="34"/>
              <w:numPr>
                <w:ilvl w:val="0"/>
                <w:numId w:val="36"/>
              </w:numPr>
              <w:ind w:firstLineChars="0"/>
            </w:pPr>
          </w:p>
        </w:tc>
        <w:tc>
          <w:tcPr>
            <w:tcW w:w="1084" w:type="pct"/>
          </w:tcPr>
          <w:p w14:paraId="5478E9D5">
            <w:r>
              <w:rPr>
                <w:rFonts w:hint="eastAsia"/>
              </w:rPr>
              <w:t>组合基本信息</w:t>
            </w:r>
          </w:p>
        </w:tc>
        <w:tc>
          <w:tcPr>
            <w:tcW w:w="918" w:type="pct"/>
          </w:tcPr>
          <w:p w14:paraId="19CDE1DE"/>
        </w:tc>
        <w:tc>
          <w:tcPr>
            <w:tcW w:w="2086" w:type="pct"/>
          </w:tcPr>
          <w:p w14:paraId="37E550D7">
            <w:r>
              <w:rPr>
                <w:rFonts w:hint="eastAsia"/>
              </w:rPr>
              <w:t>通过数据中台获取</w:t>
            </w:r>
          </w:p>
        </w:tc>
        <w:tc>
          <w:tcPr>
            <w:tcW w:w="497" w:type="pct"/>
          </w:tcPr>
          <w:p w14:paraId="4C3FB7F5">
            <w:r>
              <w:rPr>
                <w:rFonts w:hint="eastAsia" w:ascii="宋体" w:hAnsi="宋体"/>
                <w:iCs/>
              </w:rPr>
              <w:t>√</w:t>
            </w:r>
          </w:p>
        </w:tc>
      </w:tr>
      <w:tr w14:paraId="5262177B">
        <w:trPr>
          <w:jc w:val="center"/>
        </w:trPr>
        <w:tc>
          <w:tcPr>
            <w:tcW w:w="413" w:type="pct"/>
          </w:tcPr>
          <w:p w14:paraId="6F9EDEA5">
            <w:pPr>
              <w:pStyle w:val="34"/>
              <w:numPr>
                <w:ilvl w:val="0"/>
                <w:numId w:val="36"/>
              </w:numPr>
              <w:ind w:firstLineChars="0"/>
            </w:pPr>
          </w:p>
        </w:tc>
        <w:tc>
          <w:tcPr>
            <w:tcW w:w="1084" w:type="pct"/>
          </w:tcPr>
          <w:p w14:paraId="3D759AB4">
            <w:pPr>
              <w:rPr>
                <w:i/>
                <w:color w:val="0000FF"/>
              </w:rPr>
            </w:pPr>
            <w:r>
              <w:rPr>
                <w:rFonts w:hint="eastAsia"/>
                <w:iCs/>
                <w:szCs w:val="21"/>
              </w:rPr>
              <w:t>现金流分析参数选择</w:t>
            </w:r>
          </w:p>
        </w:tc>
        <w:tc>
          <w:tcPr>
            <w:tcW w:w="918" w:type="pct"/>
          </w:tcPr>
          <w:p w14:paraId="2DDABE41">
            <w:pPr>
              <w:rPr>
                <w:i/>
                <w:color w:val="0000FF"/>
              </w:rPr>
            </w:pPr>
          </w:p>
        </w:tc>
        <w:tc>
          <w:tcPr>
            <w:tcW w:w="2086" w:type="pct"/>
          </w:tcPr>
          <w:p w14:paraId="6E8DDD80">
            <w:pPr>
              <w:rPr>
                <w:i/>
                <w:color w:val="0000FF"/>
              </w:rPr>
            </w:pPr>
            <w:r>
              <w:rPr>
                <w:rFonts w:hint="eastAsia"/>
                <w:iCs/>
                <w:szCs w:val="21"/>
              </w:rPr>
              <w:t>包括日历、间隔等</w:t>
            </w:r>
          </w:p>
        </w:tc>
        <w:tc>
          <w:tcPr>
            <w:tcW w:w="497" w:type="pct"/>
          </w:tcPr>
          <w:p w14:paraId="16CB83C1">
            <w:pPr>
              <w:rPr>
                <w:i/>
                <w:color w:val="0000FF"/>
              </w:rPr>
            </w:pPr>
            <w:r>
              <w:rPr>
                <w:rFonts w:hint="eastAsia" w:ascii="宋体" w:hAnsi="宋体"/>
                <w:iCs/>
              </w:rPr>
              <w:t>√</w:t>
            </w:r>
          </w:p>
        </w:tc>
      </w:tr>
      <w:tr w14:paraId="64F59FAD">
        <w:trPr>
          <w:jc w:val="center"/>
        </w:trPr>
        <w:tc>
          <w:tcPr>
            <w:tcW w:w="413" w:type="pct"/>
          </w:tcPr>
          <w:p w14:paraId="42398A24">
            <w:pPr>
              <w:pStyle w:val="34"/>
              <w:numPr>
                <w:ilvl w:val="0"/>
                <w:numId w:val="36"/>
              </w:numPr>
              <w:ind w:firstLineChars="0"/>
            </w:pPr>
          </w:p>
        </w:tc>
        <w:tc>
          <w:tcPr>
            <w:tcW w:w="1084" w:type="pct"/>
          </w:tcPr>
          <w:p w14:paraId="0EF295B5">
            <w:pPr>
              <w:rPr>
                <w:i/>
                <w:color w:val="0000FF"/>
              </w:rPr>
            </w:pPr>
            <w:r>
              <w:rPr>
                <w:rFonts w:hint="eastAsia"/>
                <w:iCs/>
                <w:szCs w:val="21"/>
              </w:rPr>
              <w:t>DV01分析参数</w:t>
            </w:r>
          </w:p>
        </w:tc>
        <w:tc>
          <w:tcPr>
            <w:tcW w:w="918" w:type="pct"/>
          </w:tcPr>
          <w:p w14:paraId="3B15CEDD">
            <w:pPr>
              <w:rPr>
                <w:i/>
                <w:color w:val="0000FF"/>
              </w:rPr>
            </w:pPr>
          </w:p>
        </w:tc>
        <w:tc>
          <w:tcPr>
            <w:tcW w:w="2086" w:type="pct"/>
          </w:tcPr>
          <w:p w14:paraId="27701B41">
            <w:pPr>
              <w:rPr>
                <w:i/>
                <w:color w:val="0000FF"/>
              </w:rPr>
            </w:pPr>
            <w:r>
              <w:rPr>
                <w:rFonts w:hint="eastAsia"/>
                <w:iCs/>
                <w:szCs w:val="21"/>
              </w:rPr>
              <w:t>包括不同债券和</w:t>
            </w:r>
            <w:r>
              <w:rPr>
                <w:rFonts w:hint="eastAsia"/>
                <w:iCs/>
                <w:szCs w:val="21"/>
                <w:lang w:val="en-US" w:eastAsia="zh-CN"/>
              </w:rPr>
              <w:t>利率</w:t>
            </w:r>
            <w:r>
              <w:rPr>
                <w:rFonts w:hint="eastAsia"/>
                <w:iCs/>
                <w:szCs w:val="21"/>
              </w:rPr>
              <w:t>衍生品的分类筛选</w:t>
            </w:r>
          </w:p>
        </w:tc>
        <w:tc>
          <w:tcPr>
            <w:tcW w:w="497" w:type="pct"/>
          </w:tcPr>
          <w:p w14:paraId="58F515E1">
            <w:pPr>
              <w:rPr>
                <w:i/>
                <w:color w:val="0000FF"/>
              </w:rPr>
            </w:pPr>
            <w:r>
              <w:rPr>
                <w:rFonts w:hint="eastAsia" w:ascii="宋体" w:hAnsi="宋体"/>
                <w:iCs/>
              </w:rPr>
              <w:t>√</w:t>
            </w:r>
          </w:p>
        </w:tc>
      </w:tr>
      <w:tr w14:paraId="45A66080">
        <w:trPr>
          <w:jc w:val="center"/>
        </w:trPr>
        <w:tc>
          <w:tcPr>
            <w:tcW w:w="413" w:type="pct"/>
          </w:tcPr>
          <w:p w14:paraId="20B2EDB3">
            <w:pPr>
              <w:pStyle w:val="34"/>
              <w:numPr>
                <w:ilvl w:val="0"/>
                <w:numId w:val="36"/>
              </w:numPr>
              <w:ind w:firstLineChars="0"/>
            </w:pPr>
          </w:p>
        </w:tc>
        <w:tc>
          <w:tcPr>
            <w:tcW w:w="1084" w:type="pct"/>
          </w:tcPr>
          <w:p w14:paraId="003B927E">
            <w:pPr>
              <w:rPr>
                <w:i/>
                <w:color w:val="0000FF"/>
              </w:rPr>
            </w:pPr>
            <w:r>
              <w:rPr>
                <w:rFonts w:hint="eastAsia"/>
                <w:iCs/>
                <w:szCs w:val="21"/>
              </w:rPr>
              <w:t>情景分析参数</w:t>
            </w:r>
          </w:p>
        </w:tc>
        <w:tc>
          <w:tcPr>
            <w:tcW w:w="918" w:type="pct"/>
          </w:tcPr>
          <w:p w14:paraId="258C2371">
            <w:pPr>
              <w:rPr>
                <w:i/>
                <w:color w:val="0000FF"/>
              </w:rPr>
            </w:pPr>
          </w:p>
        </w:tc>
        <w:tc>
          <w:tcPr>
            <w:tcW w:w="2086" w:type="pct"/>
          </w:tcPr>
          <w:p w14:paraId="5ACC9B48">
            <w:pPr>
              <w:rPr>
                <w:i/>
                <w:color w:val="0000FF"/>
              </w:rPr>
            </w:pPr>
            <w:r>
              <w:rPr>
                <w:rFonts w:hint="eastAsia"/>
                <w:iCs/>
                <w:szCs w:val="21"/>
              </w:rPr>
              <w:t>包括历史情景、自定义情景、曲线变动参数等</w:t>
            </w:r>
          </w:p>
        </w:tc>
        <w:tc>
          <w:tcPr>
            <w:tcW w:w="497" w:type="pct"/>
          </w:tcPr>
          <w:p w14:paraId="68D024C0">
            <w:pPr>
              <w:rPr>
                <w:i/>
                <w:color w:val="0000FF"/>
              </w:rPr>
            </w:pPr>
            <w:r>
              <w:rPr>
                <w:rFonts w:hint="eastAsia" w:ascii="宋体" w:hAnsi="宋体"/>
                <w:iCs/>
              </w:rPr>
              <w:t>√</w:t>
            </w:r>
          </w:p>
        </w:tc>
      </w:tr>
    </w:tbl>
    <w:p w14:paraId="483D4297"/>
    <w:p w14:paraId="151D4543">
      <w:pPr>
        <w:pStyle w:val="7"/>
      </w:pPr>
      <w:r>
        <w:rPr>
          <w:rFonts w:hint="eastAsia"/>
        </w:rPr>
        <w:t>输出说明</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1"/>
        <w:gridCol w:w="2183"/>
        <w:gridCol w:w="1776"/>
        <w:gridCol w:w="4040"/>
      </w:tblGrid>
      <w:tr w14:paraId="136140D7">
        <w:trPr>
          <w:tblHeader/>
          <w:jc w:val="center"/>
        </w:trPr>
        <w:tc>
          <w:tcPr>
            <w:tcW w:w="413" w:type="pct"/>
            <w:shd w:val="clear" w:color="auto" w:fill="E7E6E6" w:themeFill="background2"/>
          </w:tcPr>
          <w:p w14:paraId="5E055EFF">
            <w:pPr>
              <w:jc w:val="center"/>
              <w:rPr>
                <w:b/>
              </w:rPr>
            </w:pPr>
            <w:r>
              <w:rPr>
                <w:rFonts w:hint="eastAsia"/>
                <w:b/>
              </w:rPr>
              <w:t>序号</w:t>
            </w:r>
          </w:p>
        </w:tc>
        <w:tc>
          <w:tcPr>
            <w:tcW w:w="1251" w:type="pct"/>
            <w:shd w:val="clear" w:color="auto" w:fill="E7E6E6" w:themeFill="background2"/>
          </w:tcPr>
          <w:p w14:paraId="17599666">
            <w:pPr>
              <w:jc w:val="center"/>
              <w:rPr>
                <w:b/>
              </w:rPr>
            </w:pPr>
            <w:r>
              <w:rPr>
                <w:rFonts w:hint="eastAsia"/>
                <w:b/>
              </w:rPr>
              <w:t>输出项</w:t>
            </w:r>
          </w:p>
        </w:tc>
        <w:tc>
          <w:tcPr>
            <w:tcW w:w="1018" w:type="pct"/>
            <w:shd w:val="clear" w:color="auto" w:fill="E7E6E6" w:themeFill="background2"/>
          </w:tcPr>
          <w:p w14:paraId="4A2AA25B">
            <w:pPr>
              <w:jc w:val="center"/>
              <w:rPr>
                <w:b/>
              </w:rPr>
            </w:pPr>
            <w:r>
              <w:rPr>
                <w:rFonts w:hint="eastAsia"/>
                <w:b/>
              </w:rPr>
              <w:t>取值范围</w:t>
            </w:r>
          </w:p>
        </w:tc>
        <w:tc>
          <w:tcPr>
            <w:tcW w:w="2315" w:type="pct"/>
            <w:shd w:val="clear" w:color="auto" w:fill="E7E6E6" w:themeFill="background2"/>
          </w:tcPr>
          <w:p w14:paraId="5BA4F092">
            <w:pPr>
              <w:jc w:val="center"/>
              <w:rPr>
                <w:b/>
              </w:rPr>
            </w:pPr>
            <w:r>
              <w:rPr>
                <w:rFonts w:hint="eastAsia"/>
                <w:b/>
              </w:rPr>
              <w:t>规则说明</w:t>
            </w:r>
          </w:p>
        </w:tc>
      </w:tr>
      <w:tr w14:paraId="28879E5E">
        <w:trPr>
          <w:jc w:val="center"/>
        </w:trPr>
        <w:tc>
          <w:tcPr>
            <w:tcW w:w="413" w:type="pct"/>
          </w:tcPr>
          <w:p w14:paraId="1F7C0DBD">
            <w:pPr>
              <w:pStyle w:val="34"/>
              <w:numPr>
                <w:ilvl w:val="0"/>
                <w:numId w:val="37"/>
              </w:numPr>
              <w:ind w:firstLineChars="0"/>
            </w:pPr>
          </w:p>
        </w:tc>
        <w:tc>
          <w:tcPr>
            <w:tcW w:w="1251" w:type="pct"/>
          </w:tcPr>
          <w:p w14:paraId="48A2CD4E">
            <w:pPr>
              <w:rPr>
                <w:i/>
              </w:rPr>
            </w:pPr>
            <w:r>
              <w:rPr>
                <w:rFonts w:hint="eastAsia"/>
                <w:iCs/>
                <w:szCs w:val="21"/>
              </w:rPr>
              <w:t>现金流分析分析图表</w:t>
            </w:r>
          </w:p>
        </w:tc>
        <w:tc>
          <w:tcPr>
            <w:tcW w:w="1018" w:type="pct"/>
          </w:tcPr>
          <w:p w14:paraId="4562D2D5"/>
        </w:tc>
        <w:tc>
          <w:tcPr>
            <w:tcW w:w="2315" w:type="pct"/>
          </w:tcPr>
          <w:p w14:paraId="17463376">
            <w:r>
              <w:rPr>
                <w:rFonts w:hint="eastAsia"/>
              </w:rPr>
              <w:t>可视化输出包括现金流信息，支持切换和分类</w:t>
            </w:r>
          </w:p>
        </w:tc>
      </w:tr>
      <w:tr w14:paraId="47AA6D2C">
        <w:trPr>
          <w:jc w:val="center"/>
        </w:trPr>
        <w:tc>
          <w:tcPr>
            <w:tcW w:w="413" w:type="pct"/>
          </w:tcPr>
          <w:p w14:paraId="0882512F">
            <w:pPr>
              <w:pStyle w:val="34"/>
              <w:numPr>
                <w:ilvl w:val="0"/>
                <w:numId w:val="37"/>
              </w:numPr>
              <w:ind w:firstLineChars="0"/>
            </w:pPr>
          </w:p>
        </w:tc>
        <w:tc>
          <w:tcPr>
            <w:tcW w:w="1251" w:type="pct"/>
          </w:tcPr>
          <w:p w14:paraId="0B6A9D0E">
            <w:r>
              <w:rPr>
                <w:rFonts w:hint="eastAsia"/>
                <w:iCs/>
                <w:szCs w:val="21"/>
              </w:rPr>
              <w:t>DV01分析图表</w:t>
            </w:r>
          </w:p>
        </w:tc>
        <w:tc>
          <w:tcPr>
            <w:tcW w:w="1018" w:type="pct"/>
          </w:tcPr>
          <w:p w14:paraId="7584F0B4"/>
        </w:tc>
        <w:tc>
          <w:tcPr>
            <w:tcW w:w="2315" w:type="pct"/>
          </w:tcPr>
          <w:p w14:paraId="76B78A3C">
            <w:r>
              <w:rPr>
                <w:rFonts w:hint="eastAsia"/>
              </w:rPr>
              <w:t>可视化输出包括不同资产的DV01曲线，支持切换和分类</w:t>
            </w:r>
          </w:p>
        </w:tc>
      </w:tr>
      <w:tr w14:paraId="6DC5A45A">
        <w:trPr>
          <w:jc w:val="center"/>
        </w:trPr>
        <w:tc>
          <w:tcPr>
            <w:tcW w:w="413" w:type="pct"/>
          </w:tcPr>
          <w:p w14:paraId="4ED7777D">
            <w:pPr>
              <w:pStyle w:val="34"/>
              <w:numPr>
                <w:ilvl w:val="0"/>
                <w:numId w:val="37"/>
              </w:numPr>
              <w:ind w:firstLineChars="0"/>
            </w:pPr>
          </w:p>
        </w:tc>
        <w:tc>
          <w:tcPr>
            <w:tcW w:w="1251" w:type="pct"/>
          </w:tcPr>
          <w:p w14:paraId="60BF3948">
            <w:r>
              <w:rPr>
                <w:rFonts w:hint="eastAsia"/>
                <w:iCs/>
                <w:szCs w:val="21"/>
              </w:rPr>
              <w:t>情景分析图表</w:t>
            </w:r>
          </w:p>
        </w:tc>
        <w:tc>
          <w:tcPr>
            <w:tcW w:w="1018" w:type="pct"/>
          </w:tcPr>
          <w:p w14:paraId="753A91ED"/>
        </w:tc>
        <w:tc>
          <w:tcPr>
            <w:tcW w:w="2315" w:type="pct"/>
          </w:tcPr>
          <w:p w14:paraId="1099B8A5">
            <w:r>
              <w:rPr>
                <w:rFonts w:hint="eastAsia"/>
              </w:rPr>
              <w:t>可视化输出组合及市场在不同情境下的业绩表现和参数，支持切换和分类</w:t>
            </w:r>
          </w:p>
        </w:tc>
      </w:tr>
    </w:tbl>
    <w:p w14:paraId="01311854">
      <w:pPr>
        <w:pStyle w:val="6"/>
      </w:pPr>
      <w:r>
        <w:rPr>
          <w:rFonts w:hint="eastAsia"/>
        </w:rPr>
        <w:t>业务凭证</w:t>
      </w:r>
    </w:p>
    <w:p w14:paraId="0139DE19">
      <w:r>
        <w:rPr>
          <w:rFonts w:hint="eastAsia"/>
        </w:rPr>
        <w:t xml:space="preserve">  不涉及。</w:t>
      </w:r>
    </w:p>
    <w:p w14:paraId="0F35B7CB">
      <w:pPr>
        <w:pStyle w:val="5"/>
      </w:pPr>
      <w:r>
        <w:rPr>
          <w:rFonts w:hint="eastAsia"/>
        </w:rPr>
        <w:t>业务规则说明</w:t>
      </w:r>
    </w:p>
    <w:p w14:paraId="23188F19">
      <w:pPr>
        <w:pStyle w:val="6"/>
      </w:pPr>
      <w:r>
        <w:rPr>
          <w:rFonts w:hint="eastAsia"/>
        </w:rPr>
        <w:t>业务处理规则</w:t>
      </w:r>
    </w:p>
    <w:p w14:paraId="2AAA4590">
      <w:pPr>
        <w:pStyle w:val="44"/>
        <w:spacing w:before="120" w:after="120"/>
        <w:ind w:firstLine="480"/>
      </w:pPr>
      <w:r>
        <w:rPr>
          <w:rFonts w:hint="eastAsia"/>
        </w:rPr>
        <w:t>1.组合现金流计算及DV01分析会基于用户筛选项和已经计算完成后的指标进行分类汇总计算，计算结果系统可不保存。</w:t>
      </w:r>
    </w:p>
    <w:p w14:paraId="30189CF3">
      <w:pPr>
        <w:pStyle w:val="44"/>
        <w:spacing w:before="120" w:after="120"/>
        <w:ind w:firstLine="480"/>
      </w:pPr>
      <w:r>
        <w:rPr>
          <w:rFonts w:hint="eastAsia"/>
        </w:rPr>
        <w:t>2.情景分析模块内置多种不同场景下利率的变化情况历史序列图，根据不同类型不同评级的债券进行分类，基于用户选择的组合及参数来进行后台的模拟计算。</w:t>
      </w:r>
    </w:p>
    <w:p w14:paraId="3AC60F52">
      <w:pPr>
        <w:pStyle w:val="6"/>
      </w:pPr>
      <w:r>
        <w:rPr>
          <w:rFonts w:hint="eastAsia"/>
        </w:rPr>
        <w:t>授权复核场景与规则</w:t>
      </w:r>
    </w:p>
    <w:p w14:paraId="36BF1989">
      <w:pPr>
        <w:ind w:firstLine="420"/>
      </w:pPr>
      <w:r>
        <w:rPr>
          <w:rFonts w:hint="eastAsia"/>
        </w:rPr>
        <w:t>不涉及。</w:t>
      </w:r>
    </w:p>
    <w:p w14:paraId="6585540A">
      <w:pPr>
        <w:pStyle w:val="6"/>
      </w:pPr>
      <w:r>
        <w:rPr>
          <w:rFonts w:hint="eastAsia"/>
        </w:rPr>
        <w:t>收费场景与规则</w:t>
      </w:r>
    </w:p>
    <w:p w14:paraId="1B3155AE">
      <w:pPr>
        <w:ind w:firstLine="420"/>
      </w:pPr>
      <w:r>
        <w:rPr>
          <w:rFonts w:hint="eastAsia"/>
        </w:rPr>
        <w:t>不涉及。</w:t>
      </w:r>
    </w:p>
    <w:p w14:paraId="7DFEB905">
      <w:pPr>
        <w:pStyle w:val="6"/>
      </w:pPr>
      <w:r>
        <w:rPr>
          <w:rFonts w:hint="eastAsia"/>
        </w:rPr>
        <w:t>核算场景与规则</w:t>
      </w:r>
    </w:p>
    <w:p w14:paraId="5D9710D3">
      <w:pPr>
        <w:ind w:firstLine="420"/>
      </w:pPr>
      <w:r>
        <w:rPr>
          <w:rFonts w:hint="eastAsia"/>
        </w:rPr>
        <w:t>不涉及。</w:t>
      </w:r>
    </w:p>
    <w:p w14:paraId="01B499EC">
      <w:pPr>
        <w:pStyle w:val="5"/>
      </w:pPr>
      <w:r>
        <w:rPr>
          <w:rFonts w:hint="eastAsia"/>
        </w:rPr>
        <w:t>后续业务处理</w:t>
      </w:r>
    </w:p>
    <w:p w14:paraId="1EA84829">
      <w:r>
        <w:rPr>
          <w:rFonts w:hint="eastAsia"/>
        </w:rPr>
        <w:t xml:space="preserve">    不涉及</w:t>
      </w:r>
    </w:p>
    <w:p w14:paraId="5975D2E1">
      <w:pPr>
        <w:pStyle w:val="5"/>
      </w:pPr>
      <w:bookmarkStart w:id="65" w:name="_Toc181971953"/>
      <w:r>
        <w:rPr>
          <w:rFonts w:hint="eastAsia"/>
        </w:rPr>
        <w:t>异常及备注处理</w:t>
      </w:r>
    </w:p>
    <w:p w14:paraId="7A8094F4">
      <w:pPr>
        <w:pStyle w:val="44"/>
        <w:numPr>
          <w:ilvl w:val="0"/>
          <w:numId w:val="38"/>
        </w:numPr>
        <w:spacing w:before="120" w:after="120"/>
        <w:ind w:firstLine="480"/>
      </w:pPr>
      <w:r>
        <w:rPr>
          <w:rFonts w:hint="eastAsia"/>
        </w:rPr>
        <w:t>情景分析功能要求进行输入验证。在用户进行关键期限点位移设置时，对输入的数据进行严格验证，确保数据格式正确，符合预期的数据类型和范围。若为空时，则需提示易于理解的信息和后续操作步骤，不要直接提示技术类的错误信息。</w:t>
      </w:r>
    </w:p>
    <w:p w14:paraId="2AA538E2">
      <w:pPr>
        <w:pStyle w:val="44"/>
        <w:numPr>
          <w:ilvl w:val="0"/>
          <w:numId w:val="38"/>
        </w:numPr>
        <w:spacing w:before="120" w:after="120"/>
        <w:ind w:firstLine="480"/>
      </w:pPr>
      <w:r>
        <w:rPr>
          <w:rFonts w:hint="eastAsia"/>
        </w:rPr>
        <w:t>应用调取数据出错时，需将异常信息记录到日志文件中，以便开发人员分析和调试。</w:t>
      </w:r>
    </w:p>
    <w:p w14:paraId="5D2FE353">
      <w:pPr>
        <w:pStyle w:val="44"/>
        <w:numPr>
          <w:ilvl w:val="255"/>
          <w:numId w:val="0"/>
        </w:numPr>
        <w:spacing w:before="120" w:after="120"/>
      </w:pPr>
    </w:p>
    <w:bookmarkEnd w:id="65"/>
    <w:p w14:paraId="1476F459">
      <w:pPr>
        <w:pStyle w:val="4"/>
      </w:pPr>
      <w:bookmarkStart w:id="66" w:name="_Toc184053354"/>
      <w:bookmarkStart w:id="67" w:name="_Toc181971954"/>
      <w:bookmarkStart w:id="68" w:name="_Toc9132"/>
      <w:bookmarkStart w:id="69" w:name="_Toc182934357"/>
      <w:bookmarkStart w:id="70" w:name="_Toc568"/>
      <w:r>
        <w:rPr>
          <w:rFonts w:hint="eastAsia"/>
        </w:rPr>
        <w:t>组合簿记及清算估值</w:t>
      </w:r>
      <w:bookmarkEnd w:id="66"/>
      <w:bookmarkEnd w:id="67"/>
      <w:bookmarkEnd w:id="68"/>
      <w:bookmarkEnd w:id="69"/>
      <w:bookmarkEnd w:id="70"/>
    </w:p>
    <w:p w14:paraId="545C88CA">
      <w:pPr>
        <w:pStyle w:val="5"/>
      </w:pPr>
      <w:r>
        <w:rPr>
          <w:rFonts w:hint="eastAsia"/>
        </w:rPr>
        <w:t>功能描述</w:t>
      </w:r>
    </w:p>
    <w:p w14:paraId="29964F66">
      <w:pPr>
        <w:pStyle w:val="44"/>
        <w:spacing w:before="120" w:after="120"/>
        <w:ind w:firstLine="480"/>
      </w:pPr>
      <w:r>
        <w:rPr>
          <w:rFonts w:hint="eastAsia"/>
        </w:rPr>
        <w:t>组合簿记和清算估值在债券组合管理中发挥着至关重要的作用，它们共同确保了投资决策的透明度、风险控制的精确性和资产价值的公正性。系统应支持：</w:t>
      </w:r>
    </w:p>
    <w:p w14:paraId="72638C2F">
      <w:pPr>
        <w:pStyle w:val="44"/>
        <w:spacing w:before="120" w:after="120"/>
        <w:ind w:firstLine="480"/>
      </w:pPr>
      <w:r>
        <w:rPr>
          <w:rFonts w:hint="eastAsia"/>
        </w:rPr>
        <w:t>1)</w:t>
      </w:r>
      <w:r>
        <w:rPr>
          <w:rFonts w:hint="eastAsia"/>
        </w:rPr>
        <w:tab/>
      </w:r>
      <w:r>
        <w:rPr>
          <w:rFonts w:hint="eastAsia"/>
        </w:rPr>
        <w:t>根据债券交易场所调整估值价格源优先顺序。</w:t>
      </w:r>
    </w:p>
    <w:p w14:paraId="79BDE8BD">
      <w:pPr>
        <w:pStyle w:val="44"/>
        <w:spacing w:before="120" w:after="120"/>
        <w:ind w:firstLine="480"/>
      </w:pPr>
      <w:r>
        <w:rPr>
          <w:rFonts w:hint="eastAsia"/>
        </w:rPr>
        <w:t>2)</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提供个券颗粒度在交易类、可供出售类及成本摊余的不同簿记方式下的单日及区间盈亏计算。</w:t>
      </w:r>
    </w:p>
    <w:p w14:paraId="57AE4937">
      <w:pPr>
        <w:pStyle w:val="44"/>
        <w:spacing w:before="120" w:after="120"/>
        <w:ind w:firstLine="480"/>
      </w:pPr>
      <w:r>
        <w:rPr>
          <w:rFonts w:hint="eastAsia"/>
        </w:rPr>
        <w:t>3)</w:t>
      </w:r>
      <w:r>
        <w:rPr>
          <w:rFonts w:hint="eastAsia"/>
        </w:rPr>
        <w:tab/>
      </w:r>
      <w:r>
        <w:rPr>
          <w:rFonts w:hint="eastAsia" w:cs="仿宋_GB2312" w:asciiTheme="minorEastAsia" w:hAnsiTheme="minorEastAsia" w:eastAsiaTheme="minorEastAsia"/>
          <w:color w:val="000000" w:themeColor="text1"/>
          <w:kern w:val="0"/>
          <w:szCs w:val="24"/>
          <w14:textFill>
            <w14:solidFill>
              <w14:schemeClr w14:val="tx1"/>
            </w14:solidFill>
          </w14:textFill>
        </w:rPr>
        <w:t>需要</w:t>
      </w:r>
      <w:r>
        <w:rPr>
          <w:rFonts w:hint="eastAsia"/>
        </w:rPr>
        <w:t>提供组合总</w:t>
      </w:r>
      <w:r>
        <w:rPr>
          <w:rFonts w:hint="eastAsia"/>
          <w:lang w:val="en-US" w:eastAsia="zh-CN"/>
        </w:rPr>
        <w:t>规模</w:t>
      </w:r>
      <w:r>
        <w:rPr>
          <w:rFonts w:hint="eastAsia"/>
        </w:rPr>
        <w:t>、总</w:t>
      </w:r>
      <w:r>
        <w:rPr>
          <w:rFonts w:hint="eastAsia"/>
          <w:lang w:val="en-US" w:eastAsia="zh-CN"/>
        </w:rPr>
        <w:t>负债</w:t>
      </w:r>
      <w:r>
        <w:rPr>
          <w:rFonts w:hint="eastAsia"/>
        </w:rPr>
        <w:t>、</w:t>
      </w:r>
      <w:r>
        <w:rPr>
          <w:rFonts w:hint="eastAsia"/>
          <w:lang w:val="en-US" w:eastAsia="zh-CN"/>
        </w:rPr>
        <w:t>净规模</w:t>
      </w:r>
      <w:r>
        <w:rPr>
          <w:rFonts w:hint="eastAsia"/>
        </w:rPr>
        <w:t>、持仓及盈亏清算模型。</w:t>
      </w:r>
    </w:p>
    <w:p w14:paraId="1CC56DA8">
      <w:pPr>
        <w:pStyle w:val="5"/>
      </w:pPr>
      <w:r>
        <w:rPr>
          <w:rFonts w:hint="eastAsia"/>
        </w:rPr>
        <w:t>操作权限</w:t>
      </w:r>
    </w:p>
    <w:p w14:paraId="7C9A0C54">
      <w:r>
        <w:rPr>
          <w:rFonts w:hint="eastAsia"/>
        </w:rPr>
        <w:t xml:space="preserve"> </w:t>
      </w:r>
      <w:r>
        <w:rPr>
          <w:rFonts w:hint="eastAsia"/>
        </w:rPr>
        <w:tab/>
      </w:r>
      <w:r>
        <w:rPr>
          <w:rFonts w:hint="eastAsia"/>
          <w:sz w:val="24"/>
          <w:szCs w:val="24"/>
        </w:rPr>
        <w:t>系统自动执行，不涉及用户操作。</w:t>
      </w:r>
    </w:p>
    <w:p w14:paraId="45435862">
      <w:pPr>
        <w:pStyle w:val="5"/>
        <w:rPr>
          <w:sz w:val="24"/>
        </w:rPr>
      </w:pPr>
      <w:r>
        <w:rPr>
          <w:rFonts w:hint="eastAsia"/>
        </w:rPr>
        <w:t>操作步骤</w:t>
      </w:r>
    </w:p>
    <w:p w14:paraId="79613138">
      <w:pPr>
        <w:ind w:firstLine="480" w:firstLineChars="200"/>
      </w:pPr>
      <w:r>
        <w:rPr>
          <w:rFonts w:hint="eastAsia"/>
          <w:sz w:val="24"/>
        </w:rPr>
        <w:t>系统自动执行，不涉及用户操作。</w:t>
      </w:r>
    </w:p>
    <w:p w14:paraId="6594A7EE">
      <w:pPr>
        <w:pStyle w:val="5"/>
      </w:pPr>
      <w:r>
        <w:rPr>
          <w:rFonts w:hint="eastAsia"/>
        </w:rPr>
        <w:t>用户界面</w:t>
      </w:r>
    </w:p>
    <w:p w14:paraId="4BD9DE60">
      <w:pPr>
        <w:ind w:firstLine="420" w:firstLineChars="200"/>
      </w:pPr>
      <w:r>
        <w:rPr>
          <w:rFonts w:hint="eastAsia"/>
        </w:rPr>
        <w:t xml:space="preserve"> </w:t>
      </w:r>
      <w:r>
        <w:rPr>
          <w:rFonts w:hint="eastAsia"/>
          <w:sz w:val="24"/>
        </w:rPr>
        <w:t>系统自动执行，不涉及用户操作。</w:t>
      </w:r>
    </w:p>
    <w:p w14:paraId="7AED5F38">
      <w:pPr>
        <w:pStyle w:val="5"/>
      </w:pPr>
      <w:r>
        <w:rPr>
          <w:rFonts w:hint="eastAsia"/>
        </w:rPr>
        <w:t>业务规则说明</w:t>
      </w:r>
    </w:p>
    <w:p w14:paraId="36F2C718">
      <w:pPr>
        <w:pStyle w:val="6"/>
      </w:pPr>
      <w:r>
        <w:rPr>
          <w:rFonts w:hint="eastAsia"/>
        </w:rPr>
        <w:t>业务处理规则</w:t>
      </w:r>
    </w:p>
    <w:p w14:paraId="7592790D">
      <w:pPr>
        <w:pStyle w:val="44"/>
        <w:numPr>
          <w:ilvl w:val="0"/>
          <w:numId w:val="39"/>
        </w:numPr>
        <w:spacing w:before="120" w:after="120"/>
        <w:ind w:firstLineChars="0"/>
      </w:pPr>
      <w:r>
        <w:rPr>
          <w:rFonts w:hint="eastAsia"/>
        </w:rPr>
        <w:t>模块内置一系列簿记及清算模型，在组合清算时调用模型计算。</w:t>
      </w:r>
    </w:p>
    <w:p w14:paraId="6422B2BA">
      <w:pPr>
        <w:pStyle w:val="6"/>
      </w:pPr>
      <w:r>
        <w:rPr>
          <w:rFonts w:hint="eastAsia"/>
        </w:rPr>
        <w:t>授权复核场景与规则</w:t>
      </w:r>
    </w:p>
    <w:p w14:paraId="49A5AB93">
      <w:pPr>
        <w:ind w:firstLine="420"/>
      </w:pPr>
      <w:r>
        <w:rPr>
          <w:rFonts w:hint="eastAsia"/>
        </w:rPr>
        <w:t>不涉及。</w:t>
      </w:r>
    </w:p>
    <w:p w14:paraId="52284626">
      <w:pPr>
        <w:pStyle w:val="6"/>
      </w:pPr>
      <w:r>
        <w:rPr>
          <w:rFonts w:hint="eastAsia"/>
        </w:rPr>
        <w:t>收费场景与规则</w:t>
      </w:r>
    </w:p>
    <w:p w14:paraId="738A339B">
      <w:pPr>
        <w:ind w:firstLine="420"/>
      </w:pPr>
      <w:r>
        <w:rPr>
          <w:rFonts w:hint="eastAsia"/>
        </w:rPr>
        <w:t>不涉及。</w:t>
      </w:r>
    </w:p>
    <w:p w14:paraId="0648F628">
      <w:pPr>
        <w:pStyle w:val="6"/>
      </w:pPr>
      <w:r>
        <w:rPr>
          <w:rFonts w:hint="eastAsia"/>
        </w:rPr>
        <w:t>核算场景与规则</w:t>
      </w:r>
    </w:p>
    <w:p w14:paraId="6BBB8631">
      <w:pPr>
        <w:ind w:firstLine="420"/>
      </w:pPr>
      <w:r>
        <w:rPr>
          <w:rFonts w:hint="eastAsia"/>
        </w:rPr>
        <w:t>不涉及。</w:t>
      </w:r>
    </w:p>
    <w:p w14:paraId="18CC98AF">
      <w:pPr>
        <w:pStyle w:val="5"/>
      </w:pPr>
      <w:r>
        <w:rPr>
          <w:rFonts w:hint="eastAsia"/>
        </w:rPr>
        <w:t>后续业务处理</w:t>
      </w:r>
    </w:p>
    <w:p w14:paraId="2FF0FFEA">
      <w:pPr>
        <w:pStyle w:val="44"/>
        <w:spacing w:before="120" w:after="120"/>
        <w:ind w:firstLineChars="0"/>
      </w:pPr>
      <w:r>
        <w:rPr>
          <w:rFonts w:hint="eastAsia"/>
        </w:rPr>
        <w:t>供指数模块、组合管理模块、策略开发及管理模块调用。</w:t>
      </w:r>
    </w:p>
    <w:p w14:paraId="73C5495B">
      <w:pPr>
        <w:pStyle w:val="5"/>
      </w:pPr>
      <w:r>
        <w:rPr>
          <w:rFonts w:hint="eastAsia"/>
        </w:rPr>
        <w:t>异常及备注处理</w:t>
      </w:r>
    </w:p>
    <w:p w14:paraId="7A55A5BF">
      <w:pPr>
        <w:pStyle w:val="34"/>
        <w:numPr>
          <w:ilvl w:val="0"/>
          <w:numId w:val="40"/>
        </w:numPr>
        <w:ind w:firstLineChars="0"/>
        <w:rPr>
          <w:sz w:val="24"/>
          <w:szCs w:val="24"/>
        </w:rPr>
      </w:pPr>
      <w:r>
        <w:rPr>
          <w:rFonts w:hint="eastAsia"/>
          <w:sz w:val="24"/>
          <w:szCs w:val="24"/>
        </w:rPr>
        <w:t>组合簿记及清算估值功能仅包含后台数据运算，不涉及数据输入验证的异常处理。</w:t>
      </w:r>
    </w:p>
    <w:p w14:paraId="0B3BF4C5">
      <w:pPr>
        <w:pStyle w:val="44"/>
        <w:numPr>
          <w:ilvl w:val="0"/>
          <w:numId w:val="40"/>
        </w:numPr>
        <w:spacing w:before="120" w:after="120"/>
        <w:ind w:firstLineChars="0"/>
        <w:rPr>
          <w:szCs w:val="24"/>
        </w:rPr>
      </w:pPr>
      <w:r>
        <w:rPr>
          <w:rFonts w:hint="eastAsia"/>
          <w:szCs w:val="24"/>
        </w:rPr>
        <w:t>应用计算出错时，需提示易于理解的信息和后续操作步骤，不要直接提示技术类的错误信息。并将异常信息记录到日志文件中，以便开发人员分析和调试。</w:t>
      </w:r>
    </w:p>
    <w:p w14:paraId="04301559">
      <w:pPr>
        <w:pStyle w:val="44"/>
        <w:numPr>
          <w:ilvl w:val="255"/>
          <w:numId w:val="0"/>
        </w:numPr>
        <w:spacing w:before="120" w:after="120"/>
        <w:ind w:left="480"/>
        <w:rPr>
          <w:szCs w:val="24"/>
        </w:rPr>
      </w:pPr>
    </w:p>
    <w:p w14:paraId="5725612A"/>
    <w:p w14:paraId="67F4CB23">
      <w:pPr>
        <w:pStyle w:val="3"/>
      </w:pPr>
      <w:bookmarkStart w:id="71" w:name="_Toc184053762"/>
      <w:bookmarkStart w:id="72" w:name="_Toc5805"/>
      <w:bookmarkStart w:id="73" w:name="_Toc727"/>
      <w:bookmarkStart w:id="74" w:name="_Toc182934361"/>
      <w:bookmarkStart w:id="75" w:name="_Toc25155"/>
      <w:r>
        <w:rPr>
          <w:rFonts w:hint="eastAsia"/>
        </w:rPr>
        <w:t>金融工程数据及计算模块</w:t>
      </w:r>
      <w:bookmarkEnd w:id="71"/>
      <w:bookmarkEnd w:id="72"/>
    </w:p>
    <w:p w14:paraId="119EB3D0">
      <w:pPr>
        <w:pStyle w:val="4"/>
      </w:pPr>
      <w:bookmarkStart w:id="76" w:name="_Toc32532"/>
      <w:bookmarkStart w:id="77" w:name="_Toc184053763"/>
      <w:r>
        <w:rPr>
          <w:rFonts w:hint="eastAsia"/>
        </w:rPr>
        <w:t>债券收益率曲线及风险计算</w:t>
      </w:r>
      <w:bookmarkEnd w:id="76"/>
      <w:bookmarkEnd w:id="77"/>
    </w:p>
    <w:p w14:paraId="4AB272E5">
      <w:pPr>
        <w:pStyle w:val="5"/>
      </w:pPr>
      <w:r>
        <w:rPr>
          <w:rFonts w:hint="eastAsia"/>
        </w:rPr>
        <w:t>功能描述</w:t>
      </w:r>
    </w:p>
    <w:p w14:paraId="78A59E37">
      <w:pPr>
        <w:pStyle w:val="44"/>
        <w:spacing w:before="120" w:after="120"/>
        <w:ind w:firstLine="480"/>
      </w:pPr>
      <w:r>
        <w:rPr>
          <w:rFonts w:hint="eastAsia"/>
        </w:rPr>
        <w:t>系统需整合交易数据，静态数据，市场数据，内嵌利率期限结构模型、债券定价估值模型、债券风险指标计算模型、人民币债券指数体系等模型，并通过数据业务主键关联、模型构建关联关系等，汇入到</w:t>
      </w:r>
      <w:r>
        <w:rPr>
          <w:rFonts w:hint="eastAsia"/>
          <w:lang w:eastAsia="zh-CN"/>
        </w:rPr>
        <w:t>投组管理</w:t>
      </w:r>
      <w:r>
        <w:rPr>
          <w:rFonts w:hint="eastAsia"/>
        </w:rPr>
        <w:t>数据中台进行分析计算。同时应提供基于Python语言的开发环境，以便于行方开展模型研究和应用工作。</w:t>
      </w:r>
    </w:p>
    <w:p w14:paraId="7C3A551E">
      <w:pPr>
        <w:pStyle w:val="44"/>
        <w:spacing w:before="120" w:after="120"/>
        <w:ind w:firstLine="480"/>
      </w:pPr>
      <w:r>
        <w:rPr>
          <w:rFonts w:hint="eastAsia"/>
        </w:rPr>
        <w:t xml:space="preserve">在产品服务及升级期间，系统需衍生并提供以下模型及数据： </w:t>
      </w:r>
    </w:p>
    <w:p w14:paraId="23005EC3">
      <w:pPr>
        <w:pStyle w:val="44"/>
        <w:spacing w:before="120" w:after="120"/>
        <w:ind w:firstLine="480"/>
      </w:pPr>
      <w:r>
        <w:rPr>
          <w:rFonts w:hint="eastAsia"/>
        </w:rPr>
        <w:t>•</w:t>
      </w:r>
      <w:r>
        <w:rPr>
          <w:rFonts w:hint="eastAsia"/>
        </w:rPr>
        <w:tab/>
      </w:r>
      <w:r>
        <w:rPr>
          <w:rFonts w:hint="eastAsia"/>
        </w:rPr>
        <w:t>国债及国开收益率曲线计算引擎</w:t>
      </w:r>
    </w:p>
    <w:p w14:paraId="5DCEA318">
      <w:pPr>
        <w:pStyle w:val="44"/>
        <w:spacing w:before="120" w:after="120"/>
        <w:ind w:firstLine="480"/>
      </w:pPr>
      <w:r>
        <w:rPr>
          <w:rFonts w:hint="eastAsia"/>
        </w:rPr>
        <w:t>•</w:t>
      </w:r>
      <w:r>
        <w:rPr>
          <w:rFonts w:hint="eastAsia"/>
        </w:rPr>
        <w:tab/>
      </w:r>
      <w:r>
        <w:rPr>
          <w:rFonts w:hint="eastAsia"/>
        </w:rPr>
        <w:t>不少于5年的国债及国开收益率曲线计算历史数据</w:t>
      </w:r>
    </w:p>
    <w:p w14:paraId="1A7DB99C">
      <w:pPr>
        <w:pStyle w:val="44"/>
        <w:spacing w:before="120" w:after="120"/>
        <w:ind w:firstLine="480"/>
      </w:pPr>
      <w:r>
        <w:rPr>
          <w:rFonts w:hint="eastAsia"/>
        </w:rPr>
        <w:t>•</w:t>
      </w:r>
      <w:r>
        <w:rPr>
          <w:rFonts w:hint="eastAsia"/>
        </w:rPr>
        <w:tab/>
      </w:r>
      <w:r>
        <w:rPr>
          <w:rFonts w:hint="eastAsia"/>
        </w:rPr>
        <w:t>债券风险指标计算引擎</w:t>
      </w:r>
    </w:p>
    <w:p w14:paraId="09F233E4">
      <w:pPr>
        <w:pStyle w:val="44"/>
        <w:spacing w:before="120" w:after="120"/>
        <w:ind w:firstLine="480"/>
      </w:pPr>
      <w:r>
        <w:rPr>
          <w:rFonts w:hint="eastAsia"/>
        </w:rPr>
        <w:t>•</w:t>
      </w:r>
      <w:r>
        <w:rPr>
          <w:rFonts w:hint="eastAsia"/>
        </w:rPr>
        <w:tab/>
      </w:r>
      <w:r>
        <w:rPr>
          <w:rFonts w:hint="eastAsia"/>
        </w:rPr>
        <w:t>不少于5年的债券风险指标计算历史数据</w:t>
      </w:r>
    </w:p>
    <w:p w14:paraId="38E60573">
      <w:pPr>
        <w:pStyle w:val="5"/>
      </w:pPr>
      <w:r>
        <w:rPr>
          <w:rFonts w:hint="eastAsia"/>
        </w:rPr>
        <w:t>操作权限</w:t>
      </w:r>
    </w:p>
    <w:p w14:paraId="3504F53E">
      <w:pPr>
        <w:ind w:firstLine="480" w:firstLineChars="200"/>
        <w:rPr>
          <w:sz w:val="24"/>
        </w:rPr>
      </w:pPr>
      <w:r>
        <w:rPr>
          <w:rFonts w:hint="eastAsia"/>
          <w:sz w:val="24"/>
        </w:rPr>
        <w:t>系统自动执行，不涉及用户操作。</w:t>
      </w:r>
    </w:p>
    <w:p w14:paraId="75D6FF8D">
      <w:pPr>
        <w:pStyle w:val="5"/>
      </w:pPr>
      <w:r>
        <w:rPr>
          <w:rFonts w:hint="eastAsia"/>
        </w:rPr>
        <w:t>操作步骤</w:t>
      </w:r>
    </w:p>
    <w:p w14:paraId="555FBBB0">
      <w:pPr>
        <w:pStyle w:val="44"/>
        <w:spacing w:before="120" w:after="120"/>
        <w:ind w:firstLine="480"/>
      </w:pPr>
      <w:r>
        <w:rPr>
          <w:rFonts w:hint="eastAsia"/>
        </w:rPr>
        <w:t>系统自动执行，不涉及用户操作。</w:t>
      </w:r>
    </w:p>
    <w:p w14:paraId="1B8A1220"/>
    <w:p w14:paraId="1F0ACA38">
      <w:pPr>
        <w:pStyle w:val="5"/>
      </w:pPr>
      <w:r>
        <w:rPr>
          <w:rFonts w:hint="eastAsia"/>
        </w:rPr>
        <w:t>用户界面</w:t>
      </w:r>
    </w:p>
    <w:p w14:paraId="46985900">
      <w:pPr>
        <w:ind w:left="420"/>
        <w:rPr>
          <w:sz w:val="24"/>
        </w:rPr>
      </w:pPr>
      <w:r>
        <w:rPr>
          <w:rFonts w:hint="eastAsia"/>
          <w:sz w:val="24"/>
        </w:rPr>
        <w:t>系统自动执行，不涉及用户操作。</w:t>
      </w:r>
    </w:p>
    <w:p w14:paraId="24439E4E">
      <w:pPr>
        <w:pStyle w:val="44"/>
        <w:spacing w:before="120" w:after="120"/>
        <w:ind w:firstLine="480"/>
      </w:pPr>
    </w:p>
    <w:p w14:paraId="21285113">
      <w:pPr>
        <w:pStyle w:val="5"/>
      </w:pPr>
      <w:r>
        <w:rPr>
          <w:rFonts w:hint="eastAsia"/>
        </w:rPr>
        <w:t>业务规则说明</w:t>
      </w:r>
    </w:p>
    <w:p w14:paraId="4C960B6A">
      <w:pPr>
        <w:pStyle w:val="6"/>
      </w:pPr>
      <w:r>
        <w:rPr>
          <w:rFonts w:hint="eastAsia"/>
        </w:rPr>
        <w:t>业务处理规则</w:t>
      </w:r>
    </w:p>
    <w:p w14:paraId="6078AB3E">
      <w:pPr>
        <w:pStyle w:val="44"/>
        <w:numPr>
          <w:ilvl w:val="0"/>
          <w:numId w:val="41"/>
        </w:numPr>
        <w:spacing w:before="120" w:after="120"/>
        <w:ind w:firstLineChars="0"/>
      </w:pPr>
      <w:r>
        <w:rPr>
          <w:rFonts w:hint="eastAsia"/>
        </w:rPr>
        <w:t>债券收益率曲线采用现金流贴现模型及连续时间金融模型，对市场的成交行情进行拟合。</w:t>
      </w:r>
    </w:p>
    <w:p w14:paraId="3DF3FB83">
      <w:pPr>
        <w:pStyle w:val="44"/>
        <w:numPr>
          <w:ilvl w:val="0"/>
          <w:numId w:val="41"/>
        </w:numPr>
        <w:spacing w:before="120" w:after="120"/>
        <w:ind w:firstLineChars="0"/>
      </w:pPr>
      <w:r>
        <w:rPr>
          <w:rFonts w:hint="eastAsia"/>
        </w:rPr>
        <w:t>风险计算指标模块主要计算银行常用风险指标类型，包括DV01、久期等。</w:t>
      </w:r>
    </w:p>
    <w:p w14:paraId="485EA79B">
      <w:pPr>
        <w:pStyle w:val="6"/>
      </w:pPr>
      <w:r>
        <w:rPr>
          <w:rFonts w:hint="eastAsia"/>
        </w:rPr>
        <w:t>授权复核场景与规则</w:t>
      </w:r>
    </w:p>
    <w:p w14:paraId="023AEF9A">
      <w:pPr>
        <w:ind w:firstLine="420"/>
      </w:pPr>
      <w:r>
        <w:rPr>
          <w:rFonts w:hint="eastAsia"/>
        </w:rPr>
        <w:t>不涉及。</w:t>
      </w:r>
    </w:p>
    <w:p w14:paraId="088C67E6">
      <w:pPr>
        <w:pStyle w:val="6"/>
      </w:pPr>
      <w:r>
        <w:rPr>
          <w:rFonts w:hint="eastAsia"/>
        </w:rPr>
        <w:t>收费场景与规则</w:t>
      </w:r>
    </w:p>
    <w:p w14:paraId="1A8CF5A9">
      <w:pPr>
        <w:ind w:firstLine="420"/>
      </w:pPr>
      <w:r>
        <w:rPr>
          <w:rFonts w:hint="eastAsia"/>
        </w:rPr>
        <w:t>不涉及。</w:t>
      </w:r>
    </w:p>
    <w:p w14:paraId="52520F3E">
      <w:pPr>
        <w:pStyle w:val="6"/>
      </w:pPr>
      <w:r>
        <w:rPr>
          <w:rFonts w:hint="eastAsia"/>
        </w:rPr>
        <w:t>核算场景与规则</w:t>
      </w:r>
    </w:p>
    <w:p w14:paraId="7756D7E4">
      <w:pPr>
        <w:ind w:firstLine="420"/>
      </w:pPr>
      <w:r>
        <w:rPr>
          <w:rFonts w:hint="eastAsia"/>
        </w:rPr>
        <w:t>不涉及。</w:t>
      </w:r>
    </w:p>
    <w:p w14:paraId="43415406">
      <w:pPr>
        <w:pStyle w:val="5"/>
      </w:pPr>
      <w:r>
        <w:rPr>
          <w:rFonts w:hint="eastAsia"/>
        </w:rPr>
        <w:t>后续业务处理</w:t>
      </w:r>
    </w:p>
    <w:p w14:paraId="6475577E">
      <w:pPr>
        <w:pStyle w:val="44"/>
        <w:numPr>
          <w:ilvl w:val="0"/>
          <w:numId w:val="42"/>
        </w:numPr>
        <w:spacing w:before="120" w:after="120"/>
        <w:ind w:firstLineChars="0"/>
      </w:pPr>
      <w:r>
        <w:rPr>
          <w:rFonts w:hint="eastAsia"/>
        </w:rPr>
        <w:t>债券收益率曲线及风险计算指标模块会根据指数模块、组合管理模块、策略开发及管理模块的调用，实时计算相应资产的各类指标。</w:t>
      </w:r>
    </w:p>
    <w:p w14:paraId="4DDD64BB">
      <w:pPr>
        <w:pStyle w:val="44"/>
        <w:numPr>
          <w:ilvl w:val="0"/>
          <w:numId w:val="42"/>
        </w:numPr>
        <w:spacing w:before="120" w:after="120"/>
        <w:ind w:firstLineChars="0"/>
      </w:pPr>
      <w:r>
        <w:rPr>
          <w:rFonts w:hint="eastAsia"/>
        </w:rPr>
        <w:t>针对现有组合及模拟组合，计算模块会计算相应持仓的指标并建立对应的数据结构，存储到数据库中，方便后续模块直接调用。</w:t>
      </w:r>
    </w:p>
    <w:p w14:paraId="48B3A3E4">
      <w:pPr>
        <w:pStyle w:val="5"/>
      </w:pPr>
      <w:r>
        <w:rPr>
          <w:rFonts w:hint="eastAsia"/>
        </w:rPr>
        <w:t>异常及备注处理</w:t>
      </w:r>
    </w:p>
    <w:p w14:paraId="50BA771C">
      <w:pPr>
        <w:ind w:firstLine="420"/>
        <w:rPr>
          <w:sz w:val="24"/>
          <w:szCs w:val="24"/>
        </w:rPr>
      </w:pPr>
      <w:r>
        <w:rPr>
          <w:rFonts w:hint="eastAsia"/>
          <w:sz w:val="24"/>
          <w:szCs w:val="24"/>
        </w:rPr>
        <w:t>1.</w:t>
      </w:r>
      <w:r>
        <w:rPr>
          <w:rFonts w:hint="eastAsia"/>
          <w:sz w:val="24"/>
          <w:szCs w:val="24"/>
        </w:rPr>
        <w:tab/>
      </w:r>
      <w:r>
        <w:rPr>
          <w:rFonts w:hint="eastAsia"/>
          <w:sz w:val="24"/>
          <w:szCs w:val="24"/>
        </w:rPr>
        <w:t>该模块仅包含后台数据运算，不涉及数据输入验证的异常处理。</w:t>
      </w:r>
    </w:p>
    <w:p w14:paraId="4D902D67">
      <w:pPr>
        <w:ind w:firstLine="420"/>
        <w:rPr>
          <w:rFonts w:hint="eastAsia"/>
          <w:sz w:val="24"/>
          <w:szCs w:val="24"/>
        </w:rPr>
      </w:pPr>
      <w:r>
        <w:rPr>
          <w:rFonts w:hint="eastAsia"/>
          <w:sz w:val="24"/>
          <w:szCs w:val="24"/>
        </w:rPr>
        <w:t>2.</w:t>
      </w:r>
      <w:r>
        <w:rPr>
          <w:rFonts w:hint="eastAsia"/>
          <w:sz w:val="24"/>
          <w:szCs w:val="24"/>
        </w:rPr>
        <w:tab/>
      </w:r>
      <w:r>
        <w:rPr>
          <w:rFonts w:hint="eastAsia"/>
          <w:sz w:val="24"/>
          <w:szCs w:val="24"/>
        </w:rPr>
        <w:t>应用计算出错时，需提示易于理解的信息和后续操作步骤，不要直接提示技术类的错误信息。并将异常信息记录到日志文件中，以便开发人员分析和调试。</w:t>
      </w:r>
    </w:p>
    <w:p w14:paraId="5E2231DA">
      <w:pPr>
        <w:pStyle w:val="3"/>
      </w:pPr>
      <w:bookmarkStart w:id="78" w:name="_Toc3709"/>
      <w:r>
        <w:rPr>
          <w:rFonts w:hint="eastAsia"/>
          <w:lang w:val="en-US" w:eastAsia="zh-CN"/>
        </w:rPr>
        <w:t>特定指标计算口径说明</w:t>
      </w:r>
      <w:bookmarkEnd w:id="78"/>
    </w:p>
    <w:p w14:paraId="7F0EAF3B">
      <w:pPr>
        <w:numPr>
          <w:ilvl w:val="0"/>
          <w:numId w:val="43"/>
        </w:numPr>
        <w:ind w:firstLine="420"/>
        <w:rPr>
          <w:rFonts w:hint="eastAsia"/>
          <w:sz w:val="24"/>
          <w:szCs w:val="24"/>
        </w:rPr>
      </w:pPr>
      <w:r>
        <w:rPr>
          <w:rFonts w:hint="eastAsia"/>
          <w:sz w:val="24"/>
          <w:szCs w:val="24"/>
          <w:lang w:val="en-US" w:eastAsia="zh-CN"/>
        </w:rPr>
        <w:t>利息税税率设定根据行内具体细节配置</w:t>
      </w:r>
      <w:r>
        <w:rPr>
          <w:rFonts w:hint="eastAsia"/>
          <w:sz w:val="24"/>
          <w:szCs w:val="24"/>
        </w:rPr>
        <w:t>。</w:t>
      </w:r>
    </w:p>
    <w:p w14:paraId="00773B39">
      <w:pPr>
        <w:numPr>
          <w:ilvl w:val="0"/>
          <w:numId w:val="43"/>
        </w:numPr>
        <w:ind w:firstLine="420"/>
        <w:rPr>
          <w:rFonts w:hint="eastAsia"/>
          <w:sz w:val="24"/>
          <w:szCs w:val="24"/>
        </w:rPr>
      </w:pPr>
      <w:r>
        <w:rPr>
          <w:rFonts w:hint="eastAsia"/>
          <w:sz w:val="24"/>
          <w:szCs w:val="24"/>
          <w:lang w:val="en-US" w:eastAsia="zh-CN"/>
        </w:rPr>
        <w:t>FTP设定及占资费用的统计根据行内具体细节配置。</w:t>
      </w:r>
    </w:p>
    <w:p w14:paraId="7D7F42AE">
      <w:pPr>
        <w:numPr>
          <w:ilvl w:val="0"/>
          <w:numId w:val="43"/>
        </w:numPr>
        <w:ind w:firstLine="420"/>
        <w:rPr>
          <w:rFonts w:hint="eastAsia"/>
          <w:sz w:val="24"/>
          <w:szCs w:val="24"/>
        </w:rPr>
      </w:pPr>
      <w:r>
        <w:rPr>
          <w:rFonts w:hint="eastAsia"/>
          <w:sz w:val="24"/>
          <w:szCs w:val="24"/>
          <w:lang w:val="en-US" w:eastAsia="zh-CN"/>
        </w:rPr>
        <w:t>组合“净资产”统计口径如不考虑衍生品估值市值根据行内具体要求调整。</w:t>
      </w:r>
    </w:p>
    <w:p w14:paraId="26B16FBB">
      <w:pPr>
        <w:numPr>
          <w:ilvl w:val="0"/>
          <w:numId w:val="43"/>
        </w:numPr>
        <w:ind w:firstLine="420"/>
        <w:rPr>
          <w:rFonts w:hint="eastAsia"/>
          <w:sz w:val="24"/>
          <w:szCs w:val="24"/>
        </w:rPr>
      </w:pPr>
      <w:r>
        <w:rPr>
          <w:rFonts w:hint="eastAsia"/>
          <w:sz w:val="24"/>
          <w:szCs w:val="24"/>
          <w:lang w:val="en-US" w:eastAsia="zh-CN"/>
        </w:rPr>
        <w:t>资产标签：接入行内“他行机构”等资产标签，并应用于组合拆分合并功能中。</w:t>
      </w:r>
    </w:p>
    <w:p w14:paraId="436A762F">
      <w:pPr>
        <w:numPr>
          <w:ilvl w:val="0"/>
          <w:numId w:val="43"/>
        </w:numPr>
        <w:ind w:firstLine="420"/>
        <w:rPr>
          <w:rFonts w:hint="eastAsia"/>
          <w:sz w:val="24"/>
          <w:szCs w:val="24"/>
        </w:rPr>
      </w:pPr>
      <w:r>
        <w:rPr>
          <w:rFonts w:hint="eastAsia" w:ascii="Times New Roman" w:hAnsi="Times New Roman" w:eastAsia="宋体" w:cstheme="minorBidi"/>
          <w:color w:val="auto"/>
          <w:kern w:val="2"/>
          <w:sz w:val="24"/>
          <w:szCs w:val="24"/>
          <w:highlight w:val="none"/>
          <w:lang w:val="en-US" w:eastAsia="zh-CN"/>
        </w:rPr>
        <w:t>接入行内债券回购质押以及借贷融出券额度信息，统计最新可用额。</w:t>
      </w:r>
    </w:p>
    <w:bookmarkEnd w:id="73"/>
    <w:bookmarkEnd w:id="74"/>
    <w:bookmarkEnd w:id="75"/>
    <w:p w14:paraId="63245887">
      <w:pPr>
        <w:rPr>
          <w:sz w:val="24"/>
        </w:rPr>
      </w:pPr>
    </w:p>
    <w:p w14:paraId="4B8B2AED"/>
    <w:sectPr>
      <w:footerReference r:id="rId6" w:type="default"/>
      <w:pgSz w:w="11906" w:h="16838"/>
      <w:pgMar w:top="1418" w:right="1701" w:bottom="1418" w:left="1701"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Book Antiqua">
    <w:altName w:val="苹方-简"/>
    <w:panose1 w:val="02040602050305030304"/>
    <w:charset w:val="00"/>
    <w:family w:val="roman"/>
    <w:pitch w:val="default"/>
    <w:sig w:usb0="00000000" w:usb1="00000000" w:usb2="00000000" w:usb3="00000000" w:csb0="2000009F" w:csb1="DFD70000"/>
  </w:font>
  <w:font w:name="等线">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4247"/>
    </w:tblGrid>
    <w:tr w14:paraId="5CB6644D">
      <w:tc>
        <w:tcPr>
          <w:tcW w:w="4247" w:type="dxa"/>
        </w:tcPr>
        <w:p w14:paraId="034308E5">
          <w:pPr>
            <w:pStyle w:val="19"/>
            <w:rPr>
              <w:rFonts w:hint="eastAsia" w:ascii="黑体" w:hAnsi="黑体" w:eastAsia="黑体"/>
            </w:rPr>
          </w:pPr>
        </w:p>
      </w:tc>
      <w:tc>
        <w:tcPr>
          <w:tcW w:w="4247" w:type="dxa"/>
        </w:tcPr>
        <w:p w14:paraId="2A3A14BF">
          <w:pPr>
            <w:pStyle w:val="19"/>
            <w:wordWrap w:val="0"/>
            <w:jc w:val="right"/>
            <w:rPr>
              <w:rFonts w:hint="eastAsia" w:ascii="黑体" w:hAnsi="黑体" w:eastAsia="黑体"/>
            </w:rPr>
          </w:pPr>
        </w:p>
      </w:tc>
    </w:tr>
  </w:tbl>
  <w:p w14:paraId="62D63A36">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4247"/>
    </w:tblGrid>
    <w:tr w14:paraId="47BA7BA9">
      <w:tc>
        <w:tcPr>
          <w:tcW w:w="4247" w:type="dxa"/>
        </w:tcPr>
        <w:p w14:paraId="374B3230">
          <w:pPr>
            <w:pStyle w:val="19"/>
            <w:rPr>
              <w:rFonts w:hint="eastAsia" w:ascii="黑体" w:hAnsi="黑体" w:eastAsia="黑体"/>
            </w:rPr>
          </w:pPr>
          <w:bookmarkStart w:id="79" w:name="_GoBack"/>
          <w:bookmarkEnd w:id="79"/>
        </w:p>
      </w:tc>
      <w:tc>
        <w:tcPr>
          <w:tcW w:w="4247" w:type="dxa"/>
        </w:tcPr>
        <w:p w14:paraId="10DE597D">
          <w:pPr>
            <w:pStyle w:val="19"/>
            <w:wordWrap w:val="0"/>
            <w:jc w:val="right"/>
            <w:rPr>
              <w:rFonts w:hint="eastAsia" w:ascii="黑体" w:hAnsi="黑体" w:eastAsia="黑体"/>
            </w:rPr>
          </w:pPr>
          <w:r>
            <w:rPr>
              <w:rFonts w:hint="eastAsia" w:ascii="黑体" w:hAnsi="黑体" w:eastAsia="黑体"/>
            </w:rPr>
            <w:t>目录</w:t>
          </w:r>
        </w:p>
      </w:tc>
    </w:tr>
  </w:tbl>
  <w:p w14:paraId="5DC3EA1A">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4247"/>
    </w:tblGrid>
    <w:tr w14:paraId="71A47B37">
      <w:tc>
        <w:tcPr>
          <w:tcW w:w="4247" w:type="dxa"/>
        </w:tcPr>
        <w:p w14:paraId="5D73CF18">
          <w:pPr>
            <w:pStyle w:val="19"/>
            <w:rPr>
              <w:rFonts w:hint="eastAsia" w:ascii="黑体" w:hAnsi="黑体" w:eastAsia="黑体"/>
            </w:rPr>
          </w:pPr>
        </w:p>
      </w:tc>
      <w:tc>
        <w:tcPr>
          <w:tcW w:w="4247" w:type="dxa"/>
        </w:tcPr>
        <w:p w14:paraId="0B34A1CA">
          <w:pPr>
            <w:pStyle w:val="19"/>
            <w:wordWrap w:val="0"/>
            <w:jc w:val="right"/>
            <w:rPr>
              <w:rFonts w:hint="eastAsia" w:ascii="黑体" w:hAnsi="黑体" w:eastAsia="黑体"/>
            </w:rPr>
          </w:pPr>
          <w:r>
            <w:rPr>
              <w:rFonts w:hint="eastAsia" w:ascii="黑体" w:hAnsi="黑体" w:eastAsia="黑体"/>
            </w:rPr>
            <w:t>第</w:t>
          </w:r>
          <w:r>
            <w:rPr>
              <w:rFonts w:ascii="黑体" w:hAnsi="黑体" w:eastAsia="黑体"/>
            </w:rPr>
            <w:t xml:space="preserve"> </w:t>
          </w:r>
          <w:r>
            <w:rPr>
              <w:rFonts w:ascii="黑体" w:hAnsi="黑体" w:eastAsia="黑体"/>
            </w:rPr>
            <w:fldChar w:fldCharType="begin"/>
          </w:r>
          <w:r>
            <w:rPr>
              <w:rFonts w:ascii="黑体" w:hAnsi="黑体" w:eastAsia="黑体"/>
            </w:rPr>
            <w:instrText xml:space="preserve">PAGE   \* MERGEFORMAT</w:instrText>
          </w:r>
          <w:r>
            <w:rPr>
              <w:rFonts w:ascii="黑体" w:hAnsi="黑体" w:eastAsia="黑体"/>
            </w:rPr>
            <w:fldChar w:fldCharType="separate"/>
          </w:r>
          <w:r>
            <w:rPr>
              <w:rFonts w:ascii="黑体" w:hAnsi="黑体" w:eastAsia="黑体"/>
              <w:lang w:val="zh-CN"/>
            </w:rPr>
            <w:t>7</w:t>
          </w:r>
          <w:r>
            <w:rPr>
              <w:rFonts w:ascii="黑体" w:hAnsi="黑体" w:eastAsia="黑体"/>
            </w:rPr>
            <w:fldChar w:fldCharType="end"/>
          </w:r>
          <w:r>
            <w:rPr>
              <w:rFonts w:ascii="黑体" w:hAnsi="黑体" w:eastAsia="黑体"/>
            </w:rPr>
            <w:t xml:space="preserve"> </w:t>
          </w:r>
          <w:r>
            <w:rPr>
              <w:rFonts w:hint="eastAsia" w:ascii="黑体" w:hAnsi="黑体" w:eastAsia="黑体"/>
            </w:rPr>
            <w:t>页</w:t>
          </w:r>
        </w:p>
      </w:tc>
    </w:tr>
  </w:tbl>
  <w:p w14:paraId="657CC79C">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1"/>
      <w:gridCol w:w="2831"/>
      <w:gridCol w:w="2832"/>
    </w:tblGrid>
    <w:tr w14:paraId="773998D2">
      <w:tc>
        <w:tcPr>
          <w:tcW w:w="2831" w:type="dxa"/>
        </w:tcPr>
        <w:p w14:paraId="76EDFF1B"/>
      </w:tc>
      <w:tc>
        <w:tcPr>
          <w:tcW w:w="2831" w:type="dxa"/>
        </w:tcPr>
        <w:p w14:paraId="70B431D1">
          <w:pPr>
            <w:pStyle w:val="20"/>
            <w:pBdr>
              <w:bottom w:val="none" w:color="auto" w:sz="0" w:space="0"/>
            </w:pBdr>
            <w:rPr>
              <w:rFonts w:hint="eastAsia" w:ascii="黑体" w:hAnsi="黑体" w:eastAsia="黑体"/>
            </w:rPr>
          </w:pPr>
        </w:p>
        <w:p w14:paraId="34580303">
          <w:pPr>
            <w:pStyle w:val="20"/>
            <w:pBdr>
              <w:bottom w:val="none" w:color="auto" w:sz="0" w:space="0"/>
            </w:pBdr>
          </w:pPr>
        </w:p>
      </w:tc>
      <w:tc>
        <w:tcPr>
          <w:tcW w:w="2832" w:type="dxa"/>
        </w:tcPr>
        <w:p w14:paraId="0679F564">
          <w:pPr>
            <w:pStyle w:val="20"/>
            <w:pBdr>
              <w:bottom w:val="none" w:color="auto" w:sz="0" w:space="0"/>
            </w:pBdr>
            <w:jc w:val="right"/>
          </w:pPr>
        </w:p>
        <w:p w14:paraId="08576580">
          <w:pPr>
            <w:pStyle w:val="20"/>
            <w:pBdr>
              <w:bottom w:val="none" w:color="auto" w:sz="0" w:space="0"/>
            </w:pBdr>
            <w:jc w:val="right"/>
            <w:rPr>
              <w:rFonts w:hint="eastAsia" w:ascii="黑体" w:hAnsi="黑体" w:eastAsia="黑体"/>
            </w:rPr>
          </w:pPr>
        </w:p>
      </w:tc>
    </w:tr>
  </w:tbl>
  <w:p w14:paraId="2EBBB969">
    <w:pPr>
      <w:pStyle w:val="20"/>
      <w:pBdr>
        <w:bottom w:val="none" w:color="auto" w:sz="0" w:space="0"/>
      </w:pBd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759BB"/>
    <w:multiLevelType w:val="multilevel"/>
    <w:tmpl w:val="034759B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39B09EA"/>
    <w:multiLevelType w:val="multilevel"/>
    <w:tmpl w:val="039B09EA"/>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055A7B80"/>
    <w:multiLevelType w:val="multilevel"/>
    <w:tmpl w:val="055A7B80"/>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06DE35CC"/>
    <w:multiLevelType w:val="multilevel"/>
    <w:tmpl w:val="06DE35C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08207690"/>
    <w:multiLevelType w:val="multilevel"/>
    <w:tmpl w:val="08207690"/>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0B9D2E32"/>
    <w:multiLevelType w:val="multilevel"/>
    <w:tmpl w:val="0B9D2E3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0A0B293"/>
    <w:multiLevelType w:val="singleLevel"/>
    <w:tmpl w:val="10A0B293"/>
    <w:lvl w:ilvl="0" w:tentative="0">
      <w:start w:val="1"/>
      <w:numFmt w:val="decimal"/>
      <w:lvlText w:val="%1."/>
      <w:lvlJc w:val="left"/>
    </w:lvl>
  </w:abstractNum>
  <w:abstractNum w:abstractNumId="7">
    <w:nsid w:val="1315333C"/>
    <w:multiLevelType w:val="multilevel"/>
    <w:tmpl w:val="1315333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14314B96"/>
    <w:multiLevelType w:val="multilevel"/>
    <w:tmpl w:val="14314B9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15E36BB9"/>
    <w:multiLevelType w:val="multilevel"/>
    <w:tmpl w:val="15E36BB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AD7FE8"/>
    <w:multiLevelType w:val="multilevel"/>
    <w:tmpl w:val="17AD7FE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19922C5A"/>
    <w:multiLevelType w:val="multilevel"/>
    <w:tmpl w:val="19922C5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1E5853FD"/>
    <w:multiLevelType w:val="multilevel"/>
    <w:tmpl w:val="1E5853F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F5C35ED"/>
    <w:multiLevelType w:val="multilevel"/>
    <w:tmpl w:val="1F5C35E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1F873DBB"/>
    <w:multiLevelType w:val="multilevel"/>
    <w:tmpl w:val="1F873DB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0464B26"/>
    <w:multiLevelType w:val="multilevel"/>
    <w:tmpl w:val="20464B2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6">
    <w:nsid w:val="249B019D"/>
    <w:multiLevelType w:val="multilevel"/>
    <w:tmpl w:val="249B019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5EA2F81"/>
    <w:multiLevelType w:val="multilevel"/>
    <w:tmpl w:val="25EA2F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AA007E3"/>
    <w:multiLevelType w:val="multilevel"/>
    <w:tmpl w:val="2AA007E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1B954CB"/>
    <w:multiLevelType w:val="multilevel"/>
    <w:tmpl w:val="31B954CB"/>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0">
    <w:nsid w:val="377D6537"/>
    <w:multiLevelType w:val="multilevel"/>
    <w:tmpl w:val="377D653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388C17A0"/>
    <w:multiLevelType w:val="multilevel"/>
    <w:tmpl w:val="388C17A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5EC432D"/>
    <w:multiLevelType w:val="multilevel"/>
    <w:tmpl w:val="45EC432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49201C06"/>
    <w:multiLevelType w:val="multilevel"/>
    <w:tmpl w:val="49201C06"/>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E69505D"/>
    <w:multiLevelType w:val="multilevel"/>
    <w:tmpl w:val="4E69505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1A50015"/>
    <w:multiLevelType w:val="multilevel"/>
    <w:tmpl w:val="51A5001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2183B72"/>
    <w:multiLevelType w:val="multilevel"/>
    <w:tmpl w:val="52183B7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54C112A"/>
    <w:multiLevelType w:val="multilevel"/>
    <w:tmpl w:val="554C112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5ED1EAF"/>
    <w:multiLevelType w:val="multilevel"/>
    <w:tmpl w:val="55ED1EAF"/>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9">
    <w:nsid w:val="5C003B51"/>
    <w:multiLevelType w:val="multilevel"/>
    <w:tmpl w:val="5C003B5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0">
    <w:nsid w:val="5D8E6C23"/>
    <w:multiLevelType w:val="multilevel"/>
    <w:tmpl w:val="5D8E6C2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5E7E5778"/>
    <w:multiLevelType w:val="multilevel"/>
    <w:tmpl w:val="5E7E57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E92594E"/>
    <w:multiLevelType w:val="multilevel"/>
    <w:tmpl w:val="5E92594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3">
    <w:nsid w:val="626E51BD"/>
    <w:multiLevelType w:val="multilevel"/>
    <w:tmpl w:val="626E51B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4">
    <w:nsid w:val="6802526C"/>
    <w:multiLevelType w:val="multilevel"/>
    <w:tmpl w:val="6802526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A7D1893"/>
    <w:multiLevelType w:val="multilevel"/>
    <w:tmpl w:val="6A7D189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6D39649C"/>
    <w:multiLevelType w:val="multilevel"/>
    <w:tmpl w:val="6D39649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7">
    <w:nsid w:val="6DFF146A"/>
    <w:multiLevelType w:val="multilevel"/>
    <w:tmpl w:val="6DFF146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8">
    <w:nsid w:val="6E993C67"/>
    <w:multiLevelType w:val="multilevel"/>
    <w:tmpl w:val="6E993C6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7341417A"/>
    <w:multiLevelType w:val="singleLevel"/>
    <w:tmpl w:val="7341417A"/>
    <w:lvl w:ilvl="0" w:tentative="0">
      <w:start w:val="1"/>
      <w:numFmt w:val="decimal"/>
      <w:lvlText w:val="%1."/>
      <w:lvlJc w:val="left"/>
      <w:pPr>
        <w:tabs>
          <w:tab w:val="left" w:pos="312"/>
        </w:tabs>
      </w:pPr>
    </w:lvl>
  </w:abstractNum>
  <w:abstractNum w:abstractNumId="40">
    <w:nsid w:val="744D10C6"/>
    <w:multiLevelType w:val="multilevel"/>
    <w:tmpl w:val="744D10C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772C6E37"/>
    <w:multiLevelType w:val="singleLevel"/>
    <w:tmpl w:val="772C6E37"/>
    <w:lvl w:ilvl="0" w:tentative="0">
      <w:start w:val="1"/>
      <w:numFmt w:val="decimal"/>
      <w:suff w:val="space"/>
      <w:lvlText w:val="%1."/>
      <w:lvlJc w:val="left"/>
    </w:lvl>
  </w:abstractNum>
  <w:abstractNum w:abstractNumId="42">
    <w:nsid w:val="7E69619C"/>
    <w:multiLevelType w:val="multilevel"/>
    <w:tmpl w:val="7E69619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8"/>
  </w:num>
  <w:num w:numId="2">
    <w:abstractNumId w:val="11"/>
  </w:num>
  <w:num w:numId="3">
    <w:abstractNumId w:val="20"/>
  </w:num>
  <w:num w:numId="4">
    <w:abstractNumId w:val="38"/>
  </w:num>
  <w:num w:numId="5">
    <w:abstractNumId w:val="23"/>
  </w:num>
  <w:num w:numId="6">
    <w:abstractNumId w:val="31"/>
  </w:num>
  <w:num w:numId="7">
    <w:abstractNumId w:val="7"/>
  </w:num>
  <w:num w:numId="8">
    <w:abstractNumId w:val="35"/>
  </w:num>
  <w:num w:numId="9">
    <w:abstractNumId w:val="27"/>
  </w:num>
  <w:num w:numId="10">
    <w:abstractNumId w:val="32"/>
  </w:num>
  <w:num w:numId="11">
    <w:abstractNumId w:val="33"/>
  </w:num>
  <w:num w:numId="12">
    <w:abstractNumId w:val="42"/>
  </w:num>
  <w:num w:numId="13">
    <w:abstractNumId w:val="36"/>
  </w:num>
  <w:num w:numId="14">
    <w:abstractNumId w:val="34"/>
  </w:num>
  <w:num w:numId="15">
    <w:abstractNumId w:val="21"/>
  </w:num>
  <w:num w:numId="16">
    <w:abstractNumId w:val="41"/>
  </w:num>
  <w:num w:numId="17">
    <w:abstractNumId w:val="24"/>
  </w:num>
  <w:num w:numId="18">
    <w:abstractNumId w:val="5"/>
  </w:num>
  <w:num w:numId="19">
    <w:abstractNumId w:val="10"/>
  </w:num>
  <w:num w:numId="20">
    <w:abstractNumId w:val="0"/>
  </w:num>
  <w:num w:numId="21">
    <w:abstractNumId w:val="9"/>
  </w:num>
  <w:num w:numId="22">
    <w:abstractNumId w:val="12"/>
  </w:num>
  <w:num w:numId="23">
    <w:abstractNumId w:val="17"/>
  </w:num>
  <w:num w:numId="24">
    <w:abstractNumId w:val="18"/>
  </w:num>
  <w:num w:numId="25">
    <w:abstractNumId w:val="40"/>
  </w:num>
  <w:num w:numId="26">
    <w:abstractNumId w:val="1"/>
  </w:num>
  <w:num w:numId="27">
    <w:abstractNumId w:val="25"/>
  </w:num>
  <w:num w:numId="28">
    <w:abstractNumId w:val="14"/>
  </w:num>
  <w:num w:numId="29">
    <w:abstractNumId w:val="30"/>
  </w:num>
  <w:num w:numId="30">
    <w:abstractNumId w:val="22"/>
  </w:num>
  <w:num w:numId="31">
    <w:abstractNumId w:val="2"/>
  </w:num>
  <w:num w:numId="32">
    <w:abstractNumId w:val="8"/>
  </w:num>
  <w:num w:numId="33">
    <w:abstractNumId w:val="15"/>
  </w:num>
  <w:num w:numId="34">
    <w:abstractNumId w:val="29"/>
  </w:num>
  <w:num w:numId="35">
    <w:abstractNumId w:val="19"/>
  </w:num>
  <w:num w:numId="36">
    <w:abstractNumId w:val="26"/>
  </w:num>
  <w:num w:numId="37">
    <w:abstractNumId w:val="16"/>
  </w:num>
  <w:num w:numId="38">
    <w:abstractNumId w:val="39"/>
  </w:num>
  <w:num w:numId="39">
    <w:abstractNumId w:val="3"/>
  </w:num>
  <w:num w:numId="40">
    <w:abstractNumId w:val="37"/>
  </w:num>
  <w:num w:numId="41">
    <w:abstractNumId w:val="4"/>
  </w:num>
  <w:num w:numId="42">
    <w:abstractNumId w:val="13"/>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M3MmExMmU0YjczYmUyZDQ1ZWJiNWE3MWQ0NDIyMjMifQ=="/>
  </w:docVars>
  <w:rsids>
    <w:rsidRoot w:val="004232BD"/>
    <w:rsid w:val="00000F97"/>
    <w:rsid w:val="0000249F"/>
    <w:rsid w:val="00003220"/>
    <w:rsid w:val="00005C44"/>
    <w:rsid w:val="00007753"/>
    <w:rsid w:val="00021030"/>
    <w:rsid w:val="00022F87"/>
    <w:rsid w:val="00032ED9"/>
    <w:rsid w:val="00034B82"/>
    <w:rsid w:val="00037925"/>
    <w:rsid w:val="000561EB"/>
    <w:rsid w:val="000649ED"/>
    <w:rsid w:val="00071BFF"/>
    <w:rsid w:val="00077338"/>
    <w:rsid w:val="00080B96"/>
    <w:rsid w:val="0008496B"/>
    <w:rsid w:val="00092B13"/>
    <w:rsid w:val="000945DA"/>
    <w:rsid w:val="000977F2"/>
    <w:rsid w:val="000A0806"/>
    <w:rsid w:val="000A760D"/>
    <w:rsid w:val="000B63A9"/>
    <w:rsid w:val="000C0925"/>
    <w:rsid w:val="000C688F"/>
    <w:rsid w:val="000D0407"/>
    <w:rsid w:val="000E13B3"/>
    <w:rsid w:val="000E3F4D"/>
    <w:rsid w:val="000E5C00"/>
    <w:rsid w:val="000E6810"/>
    <w:rsid w:val="000F155B"/>
    <w:rsid w:val="000F204B"/>
    <w:rsid w:val="0010050D"/>
    <w:rsid w:val="00113F22"/>
    <w:rsid w:val="00116805"/>
    <w:rsid w:val="00116D5A"/>
    <w:rsid w:val="001176F0"/>
    <w:rsid w:val="00131F62"/>
    <w:rsid w:val="00132065"/>
    <w:rsid w:val="00135F90"/>
    <w:rsid w:val="00141B98"/>
    <w:rsid w:val="00147233"/>
    <w:rsid w:val="00160F47"/>
    <w:rsid w:val="00161C3A"/>
    <w:rsid w:val="00167D6A"/>
    <w:rsid w:val="0017045F"/>
    <w:rsid w:val="00172A06"/>
    <w:rsid w:val="00174E29"/>
    <w:rsid w:val="00191529"/>
    <w:rsid w:val="001975F4"/>
    <w:rsid w:val="00197ED9"/>
    <w:rsid w:val="001A4D7C"/>
    <w:rsid w:val="001A579B"/>
    <w:rsid w:val="001B07E7"/>
    <w:rsid w:val="001B3778"/>
    <w:rsid w:val="001B3AA2"/>
    <w:rsid w:val="001B7812"/>
    <w:rsid w:val="001D72D5"/>
    <w:rsid w:val="001F0EB9"/>
    <w:rsid w:val="001F2C42"/>
    <w:rsid w:val="001F441C"/>
    <w:rsid w:val="0020337D"/>
    <w:rsid w:val="00231760"/>
    <w:rsid w:val="00232B99"/>
    <w:rsid w:val="002408BE"/>
    <w:rsid w:val="00244DB9"/>
    <w:rsid w:val="00250EBD"/>
    <w:rsid w:val="00251F8B"/>
    <w:rsid w:val="00256C59"/>
    <w:rsid w:val="002608E0"/>
    <w:rsid w:val="00275DDE"/>
    <w:rsid w:val="00277534"/>
    <w:rsid w:val="00280F49"/>
    <w:rsid w:val="00282C86"/>
    <w:rsid w:val="0028697F"/>
    <w:rsid w:val="002910EE"/>
    <w:rsid w:val="00296907"/>
    <w:rsid w:val="002A76BD"/>
    <w:rsid w:val="002B641C"/>
    <w:rsid w:val="002B6C6D"/>
    <w:rsid w:val="002C055C"/>
    <w:rsid w:val="002C104F"/>
    <w:rsid w:val="002C117A"/>
    <w:rsid w:val="002C3B3E"/>
    <w:rsid w:val="002C6164"/>
    <w:rsid w:val="002D47D3"/>
    <w:rsid w:val="002E1BDA"/>
    <w:rsid w:val="00302A5E"/>
    <w:rsid w:val="003069DC"/>
    <w:rsid w:val="00312D65"/>
    <w:rsid w:val="003135AF"/>
    <w:rsid w:val="00314543"/>
    <w:rsid w:val="00321B40"/>
    <w:rsid w:val="00322FAE"/>
    <w:rsid w:val="00340D68"/>
    <w:rsid w:val="0034126A"/>
    <w:rsid w:val="0035509B"/>
    <w:rsid w:val="00355492"/>
    <w:rsid w:val="00361F87"/>
    <w:rsid w:val="003623A0"/>
    <w:rsid w:val="003641B1"/>
    <w:rsid w:val="00364419"/>
    <w:rsid w:val="00384BC7"/>
    <w:rsid w:val="003864E7"/>
    <w:rsid w:val="00392C72"/>
    <w:rsid w:val="00393D85"/>
    <w:rsid w:val="00396281"/>
    <w:rsid w:val="003A5597"/>
    <w:rsid w:val="003B677A"/>
    <w:rsid w:val="003C271A"/>
    <w:rsid w:val="003D2289"/>
    <w:rsid w:val="003D2900"/>
    <w:rsid w:val="003D6D6D"/>
    <w:rsid w:val="003E33E6"/>
    <w:rsid w:val="003E3F33"/>
    <w:rsid w:val="003E7ED3"/>
    <w:rsid w:val="003E7F7A"/>
    <w:rsid w:val="00412D73"/>
    <w:rsid w:val="00413C13"/>
    <w:rsid w:val="00415E46"/>
    <w:rsid w:val="00416472"/>
    <w:rsid w:val="00421D52"/>
    <w:rsid w:val="00422C1F"/>
    <w:rsid w:val="004232BD"/>
    <w:rsid w:val="00423A3B"/>
    <w:rsid w:val="004274DF"/>
    <w:rsid w:val="00447B1B"/>
    <w:rsid w:val="0045018A"/>
    <w:rsid w:val="004516EF"/>
    <w:rsid w:val="004545C9"/>
    <w:rsid w:val="0046153F"/>
    <w:rsid w:val="00462CB3"/>
    <w:rsid w:val="0046476F"/>
    <w:rsid w:val="00471912"/>
    <w:rsid w:val="0047673F"/>
    <w:rsid w:val="0048041B"/>
    <w:rsid w:val="00480932"/>
    <w:rsid w:val="004811B5"/>
    <w:rsid w:val="00486B54"/>
    <w:rsid w:val="004874D0"/>
    <w:rsid w:val="004963F2"/>
    <w:rsid w:val="00497677"/>
    <w:rsid w:val="004A1593"/>
    <w:rsid w:val="004A3EDA"/>
    <w:rsid w:val="004C0AC0"/>
    <w:rsid w:val="004C4787"/>
    <w:rsid w:val="004D5CC5"/>
    <w:rsid w:val="004E4996"/>
    <w:rsid w:val="004E4BD1"/>
    <w:rsid w:val="004F54F3"/>
    <w:rsid w:val="00502440"/>
    <w:rsid w:val="00512A96"/>
    <w:rsid w:val="00523093"/>
    <w:rsid w:val="00524188"/>
    <w:rsid w:val="00525BB2"/>
    <w:rsid w:val="00525D98"/>
    <w:rsid w:val="0053019F"/>
    <w:rsid w:val="0054006E"/>
    <w:rsid w:val="00542CA7"/>
    <w:rsid w:val="00546C53"/>
    <w:rsid w:val="0055394B"/>
    <w:rsid w:val="00553BE9"/>
    <w:rsid w:val="00555DDE"/>
    <w:rsid w:val="005654A2"/>
    <w:rsid w:val="00570E69"/>
    <w:rsid w:val="00571525"/>
    <w:rsid w:val="00572A1D"/>
    <w:rsid w:val="00581929"/>
    <w:rsid w:val="0058192D"/>
    <w:rsid w:val="005832FE"/>
    <w:rsid w:val="00595E27"/>
    <w:rsid w:val="00597D6D"/>
    <w:rsid w:val="005A3670"/>
    <w:rsid w:val="005A3860"/>
    <w:rsid w:val="005A39DD"/>
    <w:rsid w:val="005A7102"/>
    <w:rsid w:val="005B1D9F"/>
    <w:rsid w:val="005B20E9"/>
    <w:rsid w:val="005B27E5"/>
    <w:rsid w:val="005C0C80"/>
    <w:rsid w:val="005C273C"/>
    <w:rsid w:val="005C7082"/>
    <w:rsid w:val="005C7525"/>
    <w:rsid w:val="005E1273"/>
    <w:rsid w:val="005E7087"/>
    <w:rsid w:val="005F0FBB"/>
    <w:rsid w:val="005F4B3E"/>
    <w:rsid w:val="00600CBB"/>
    <w:rsid w:val="0060226A"/>
    <w:rsid w:val="00602997"/>
    <w:rsid w:val="00610FB8"/>
    <w:rsid w:val="00612F8A"/>
    <w:rsid w:val="00614D4F"/>
    <w:rsid w:val="006155B6"/>
    <w:rsid w:val="00615AA4"/>
    <w:rsid w:val="0061746F"/>
    <w:rsid w:val="00625894"/>
    <w:rsid w:val="00630A33"/>
    <w:rsid w:val="00641520"/>
    <w:rsid w:val="0064547A"/>
    <w:rsid w:val="00650709"/>
    <w:rsid w:val="00653CCD"/>
    <w:rsid w:val="006541EC"/>
    <w:rsid w:val="00656CC3"/>
    <w:rsid w:val="0066033A"/>
    <w:rsid w:val="00661D59"/>
    <w:rsid w:val="00664F7E"/>
    <w:rsid w:val="006707EB"/>
    <w:rsid w:val="0067140D"/>
    <w:rsid w:val="00673E80"/>
    <w:rsid w:val="006744CC"/>
    <w:rsid w:val="00676F27"/>
    <w:rsid w:val="0068707E"/>
    <w:rsid w:val="00690E67"/>
    <w:rsid w:val="00696507"/>
    <w:rsid w:val="00697D40"/>
    <w:rsid w:val="006A2A5F"/>
    <w:rsid w:val="006B0071"/>
    <w:rsid w:val="006B3BB3"/>
    <w:rsid w:val="006B44E1"/>
    <w:rsid w:val="006C4835"/>
    <w:rsid w:val="006C4E9C"/>
    <w:rsid w:val="006C70C1"/>
    <w:rsid w:val="006D3CF0"/>
    <w:rsid w:val="006E2FA2"/>
    <w:rsid w:val="006E7EAA"/>
    <w:rsid w:val="006F6646"/>
    <w:rsid w:val="00700554"/>
    <w:rsid w:val="0071642B"/>
    <w:rsid w:val="00723132"/>
    <w:rsid w:val="00723C89"/>
    <w:rsid w:val="00725C91"/>
    <w:rsid w:val="007267F5"/>
    <w:rsid w:val="00755AEF"/>
    <w:rsid w:val="00760151"/>
    <w:rsid w:val="00761E93"/>
    <w:rsid w:val="007640A4"/>
    <w:rsid w:val="0076672C"/>
    <w:rsid w:val="00770CED"/>
    <w:rsid w:val="007713D4"/>
    <w:rsid w:val="00773649"/>
    <w:rsid w:val="0077597D"/>
    <w:rsid w:val="00783209"/>
    <w:rsid w:val="00783367"/>
    <w:rsid w:val="00794F89"/>
    <w:rsid w:val="0079779B"/>
    <w:rsid w:val="007C230B"/>
    <w:rsid w:val="007D53A0"/>
    <w:rsid w:val="007D623D"/>
    <w:rsid w:val="007D68C6"/>
    <w:rsid w:val="007E65C4"/>
    <w:rsid w:val="007F16AC"/>
    <w:rsid w:val="00801375"/>
    <w:rsid w:val="008102D0"/>
    <w:rsid w:val="008130EC"/>
    <w:rsid w:val="00821AFA"/>
    <w:rsid w:val="00822F63"/>
    <w:rsid w:val="008266E5"/>
    <w:rsid w:val="00826BCB"/>
    <w:rsid w:val="0083439F"/>
    <w:rsid w:val="00835E8E"/>
    <w:rsid w:val="00837621"/>
    <w:rsid w:val="00842225"/>
    <w:rsid w:val="00856E0A"/>
    <w:rsid w:val="00861FE6"/>
    <w:rsid w:val="008913AA"/>
    <w:rsid w:val="008A67EA"/>
    <w:rsid w:val="008A77F0"/>
    <w:rsid w:val="008B2128"/>
    <w:rsid w:val="008B6C87"/>
    <w:rsid w:val="008B7097"/>
    <w:rsid w:val="008C4B07"/>
    <w:rsid w:val="008D086B"/>
    <w:rsid w:val="008D62F4"/>
    <w:rsid w:val="008D7C5B"/>
    <w:rsid w:val="008E0AAA"/>
    <w:rsid w:val="008E1263"/>
    <w:rsid w:val="008E3DFE"/>
    <w:rsid w:val="008F6C77"/>
    <w:rsid w:val="008F743E"/>
    <w:rsid w:val="00910F6D"/>
    <w:rsid w:val="00923C1A"/>
    <w:rsid w:val="0092417C"/>
    <w:rsid w:val="00927154"/>
    <w:rsid w:val="009334F3"/>
    <w:rsid w:val="00933D52"/>
    <w:rsid w:val="00934913"/>
    <w:rsid w:val="00935543"/>
    <w:rsid w:val="00946FEE"/>
    <w:rsid w:val="0095547D"/>
    <w:rsid w:val="00957943"/>
    <w:rsid w:val="0096311A"/>
    <w:rsid w:val="009631F6"/>
    <w:rsid w:val="00964D3E"/>
    <w:rsid w:val="009752DE"/>
    <w:rsid w:val="00977EC0"/>
    <w:rsid w:val="00981193"/>
    <w:rsid w:val="0098693F"/>
    <w:rsid w:val="009924A5"/>
    <w:rsid w:val="009948CD"/>
    <w:rsid w:val="009A0730"/>
    <w:rsid w:val="009B15CA"/>
    <w:rsid w:val="009B2A15"/>
    <w:rsid w:val="009B58D4"/>
    <w:rsid w:val="009D1A76"/>
    <w:rsid w:val="009D1CF5"/>
    <w:rsid w:val="009D3D9C"/>
    <w:rsid w:val="009E2B78"/>
    <w:rsid w:val="009E38E8"/>
    <w:rsid w:val="009E7534"/>
    <w:rsid w:val="009F00D1"/>
    <w:rsid w:val="00A073CE"/>
    <w:rsid w:val="00A10CCF"/>
    <w:rsid w:val="00A14E8D"/>
    <w:rsid w:val="00A275D8"/>
    <w:rsid w:val="00A361D8"/>
    <w:rsid w:val="00A40F0A"/>
    <w:rsid w:val="00A42E4E"/>
    <w:rsid w:val="00A43C2B"/>
    <w:rsid w:val="00A4685F"/>
    <w:rsid w:val="00A55276"/>
    <w:rsid w:val="00A62E2E"/>
    <w:rsid w:val="00A675E0"/>
    <w:rsid w:val="00A72991"/>
    <w:rsid w:val="00A7598B"/>
    <w:rsid w:val="00A75DA3"/>
    <w:rsid w:val="00A86B1B"/>
    <w:rsid w:val="00A91606"/>
    <w:rsid w:val="00A91A8F"/>
    <w:rsid w:val="00A97163"/>
    <w:rsid w:val="00AA0C79"/>
    <w:rsid w:val="00AA1845"/>
    <w:rsid w:val="00AC1277"/>
    <w:rsid w:val="00AC3DB8"/>
    <w:rsid w:val="00AC63A7"/>
    <w:rsid w:val="00AD2CDF"/>
    <w:rsid w:val="00AD5E14"/>
    <w:rsid w:val="00AD7561"/>
    <w:rsid w:val="00AF09B9"/>
    <w:rsid w:val="00AF3086"/>
    <w:rsid w:val="00AF3F71"/>
    <w:rsid w:val="00AF44F9"/>
    <w:rsid w:val="00AF7014"/>
    <w:rsid w:val="00B04B71"/>
    <w:rsid w:val="00B05569"/>
    <w:rsid w:val="00B06E87"/>
    <w:rsid w:val="00B1437C"/>
    <w:rsid w:val="00B270A4"/>
    <w:rsid w:val="00B30B02"/>
    <w:rsid w:val="00B435ED"/>
    <w:rsid w:val="00B51348"/>
    <w:rsid w:val="00B513B7"/>
    <w:rsid w:val="00B61C86"/>
    <w:rsid w:val="00B6615B"/>
    <w:rsid w:val="00B6690F"/>
    <w:rsid w:val="00B7142A"/>
    <w:rsid w:val="00B738CE"/>
    <w:rsid w:val="00B74AFB"/>
    <w:rsid w:val="00B925C9"/>
    <w:rsid w:val="00B97032"/>
    <w:rsid w:val="00BA154A"/>
    <w:rsid w:val="00BA3B86"/>
    <w:rsid w:val="00BA4DA2"/>
    <w:rsid w:val="00BC5749"/>
    <w:rsid w:val="00BC620C"/>
    <w:rsid w:val="00BE1E97"/>
    <w:rsid w:val="00BE7A83"/>
    <w:rsid w:val="00BF2870"/>
    <w:rsid w:val="00BF2888"/>
    <w:rsid w:val="00BF6B46"/>
    <w:rsid w:val="00C1147F"/>
    <w:rsid w:val="00C217FB"/>
    <w:rsid w:val="00C22059"/>
    <w:rsid w:val="00C238F0"/>
    <w:rsid w:val="00C314BB"/>
    <w:rsid w:val="00C42676"/>
    <w:rsid w:val="00C4274F"/>
    <w:rsid w:val="00C5062B"/>
    <w:rsid w:val="00C523F2"/>
    <w:rsid w:val="00C54169"/>
    <w:rsid w:val="00C60E87"/>
    <w:rsid w:val="00C640FE"/>
    <w:rsid w:val="00C70529"/>
    <w:rsid w:val="00C77C06"/>
    <w:rsid w:val="00C80010"/>
    <w:rsid w:val="00C81B98"/>
    <w:rsid w:val="00C9035D"/>
    <w:rsid w:val="00CA12F2"/>
    <w:rsid w:val="00CA7CC8"/>
    <w:rsid w:val="00CB1F71"/>
    <w:rsid w:val="00CB3947"/>
    <w:rsid w:val="00CC19BF"/>
    <w:rsid w:val="00CC214B"/>
    <w:rsid w:val="00CD1479"/>
    <w:rsid w:val="00CE38A2"/>
    <w:rsid w:val="00CE5CFB"/>
    <w:rsid w:val="00CE6517"/>
    <w:rsid w:val="00CE6A6E"/>
    <w:rsid w:val="00D1345B"/>
    <w:rsid w:val="00D17459"/>
    <w:rsid w:val="00D23FB6"/>
    <w:rsid w:val="00D26CC2"/>
    <w:rsid w:val="00D26E45"/>
    <w:rsid w:val="00D30562"/>
    <w:rsid w:val="00D342A6"/>
    <w:rsid w:val="00D3496E"/>
    <w:rsid w:val="00D355C9"/>
    <w:rsid w:val="00D41A24"/>
    <w:rsid w:val="00D47BF2"/>
    <w:rsid w:val="00D644B3"/>
    <w:rsid w:val="00D70243"/>
    <w:rsid w:val="00D71564"/>
    <w:rsid w:val="00D76034"/>
    <w:rsid w:val="00D76374"/>
    <w:rsid w:val="00D86FA9"/>
    <w:rsid w:val="00D911CA"/>
    <w:rsid w:val="00D9141C"/>
    <w:rsid w:val="00D933D9"/>
    <w:rsid w:val="00DA223B"/>
    <w:rsid w:val="00DA4EF4"/>
    <w:rsid w:val="00DA5389"/>
    <w:rsid w:val="00DC057F"/>
    <w:rsid w:val="00DC5B57"/>
    <w:rsid w:val="00DD5414"/>
    <w:rsid w:val="00DD7BD3"/>
    <w:rsid w:val="00DE1162"/>
    <w:rsid w:val="00DE1CE1"/>
    <w:rsid w:val="00DE457C"/>
    <w:rsid w:val="00DF0C8E"/>
    <w:rsid w:val="00DF1324"/>
    <w:rsid w:val="00DF748F"/>
    <w:rsid w:val="00E01052"/>
    <w:rsid w:val="00E02C9E"/>
    <w:rsid w:val="00E06935"/>
    <w:rsid w:val="00E076DC"/>
    <w:rsid w:val="00E11E66"/>
    <w:rsid w:val="00E16D3E"/>
    <w:rsid w:val="00E26657"/>
    <w:rsid w:val="00E27626"/>
    <w:rsid w:val="00E3659A"/>
    <w:rsid w:val="00E53288"/>
    <w:rsid w:val="00E73496"/>
    <w:rsid w:val="00E7484A"/>
    <w:rsid w:val="00E767BC"/>
    <w:rsid w:val="00E76C53"/>
    <w:rsid w:val="00E87BCE"/>
    <w:rsid w:val="00E97C52"/>
    <w:rsid w:val="00EB7078"/>
    <w:rsid w:val="00ED13BA"/>
    <w:rsid w:val="00ED5AA4"/>
    <w:rsid w:val="00ED7FF2"/>
    <w:rsid w:val="00EE0E38"/>
    <w:rsid w:val="00EE6AA2"/>
    <w:rsid w:val="00EE6B52"/>
    <w:rsid w:val="00EF0A71"/>
    <w:rsid w:val="00EF258A"/>
    <w:rsid w:val="00EF7920"/>
    <w:rsid w:val="00EF7B5B"/>
    <w:rsid w:val="00F03FE3"/>
    <w:rsid w:val="00F07233"/>
    <w:rsid w:val="00F12B9E"/>
    <w:rsid w:val="00F14306"/>
    <w:rsid w:val="00F15817"/>
    <w:rsid w:val="00F22BF8"/>
    <w:rsid w:val="00F30717"/>
    <w:rsid w:val="00F45E4D"/>
    <w:rsid w:val="00F47098"/>
    <w:rsid w:val="00F55925"/>
    <w:rsid w:val="00F60B3D"/>
    <w:rsid w:val="00F625DC"/>
    <w:rsid w:val="00F659FD"/>
    <w:rsid w:val="00F7148E"/>
    <w:rsid w:val="00F93B3D"/>
    <w:rsid w:val="00FA34A8"/>
    <w:rsid w:val="00FB1846"/>
    <w:rsid w:val="00FB3941"/>
    <w:rsid w:val="00FB3DFC"/>
    <w:rsid w:val="00FC12B0"/>
    <w:rsid w:val="00FC30C3"/>
    <w:rsid w:val="00FC3335"/>
    <w:rsid w:val="00FC44E4"/>
    <w:rsid w:val="00FD6528"/>
    <w:rsid w:val="00FD7B57"/>
    <w:rsid w:val="00FE52D6"/>
    <w:rsid w:val="00FF49D9"/>
    <w:rsid w:val="013712F7"/>
    <w:rsid w:val="015646C1"/>
    <w:rsid w:val="01830099"/>
    <w:rsid w:val="01A00C4B"/>
    <w:rsid w:val="01A82BF2"/>
    <w:rsid w:val="01A946B7"/>
    <w:rsid w:val="01AC655F"/>
    <w:rsid w:val="01D24D4F"/>
    <w:rsid w:val="01D823BE"/>
    <w:rsid w:val="01E1077B"/>
    <w:rsid w:val="02036056"/>
    <w:rsid w:val="02477EC2"/>
    <w:rsid w:val="028644D2"/>
    <w:rsid w:val="039447DF"/>
    <w:rsid w:val="03E7171F"/>
    <w:rsid w:val="03EA74D0"/>
    <w:rsid w:val="040C0819"/>
    <w:rsid w:val="04290680"/>
    <w:rsid w:val="0437692F"/>
    <w:rsid w:val="04450F55"/>
    <w:rsid w:val="04555532"/>
    <w:rsid w:val="04762137"/>
    <w:rsid w:val="04787126"/>
    <w:rsid w:val="04AF06BB"/>
    <w:rsid w:val="04B31043"/>
    <w:rsid w:val="04EE7F1F"/>
    <w:rsid w:val="058F57AB"/>
    <w:rsid w:val="05955B7C"/>
    <w:rsid w:val="05A21435"/>
    <w:rsid w:val="05A607FA"/>
    <w:rsid w:val="05DF6FB1"/>
    <w:rsid w:val="06213733"/>
    <w:rsid w:val="0636723D"/>
    <w:rsid w:val="065460FD"/>
    <w:rsid w:val="06897281"/>
    <w:rsid w:val="068D4A78"/>
    <w:rsid w:val="07377956"/>
    <w:rsid w:val="075808C7"/>
    <w:rsid w:val="075C73C2"/>
    <w:rsid w:val="077742EF"/>
    <w:rsid w:val="078F7797"/>
    <w:rsid w:val="079363A2"/>
    <w:rsid w:val="07A1571D"/>
    <w:rsid w:val="07A524D7"/>
    <w:rsid w:val="07B509B3"/>
    <w:rsid w:val="07C52871"/>
    <w:rsid w:val="08206641"/>
    <w:rsid w:val="082500FC"/>
    <w:rsid w:val="08552ABB"/>
    <w:rsid w:val="08662ED7"/>
    <w:rsid w:val="08732C15"/>
    <w:rsid w:val="089D0307"/>
    <w:rsid w:val="08B35707"/>
    <w:rsid w:val="08EC3A1E"/>
    <w:rsid w:val="09066E3B"/>
    <w:rsid w:val="091952E7"/>
    <w:rsid w:val="099512B1"/>
    <w:rsid w:val="09AD3DB5"/>
    <w:rsid w:val="09C94AB7"/>
    <w:rsid w:val="0A912C08"/>
    <w:rsid w:val="0ADB7197"/>
    <w:rsid w:val="0ADB7E66"/>
    <w:rsid w:val="0AE023EE"/>
    <w:rsid w:val="0B1A652A"/>
    <w:rsid w:val="0B38728E"/>
    <w:rsid w:val="0B9056EF"/>
    <w:rsid w:val="0C7E6ADB"/>
    <w:rsid w:val="0CB06D2E"/>
    <w:rsid w:val="0CD77970"/>
    <w:rsid w:val="0D244E26"/>
    <w:rsid w:val="0DBB0B1B"/>
    <w:rsid w:val="0DC77171"/>
    <w:rsid w:val="0E1529C0"/>
    <w:rsid w:val="0E464928"/>
    <w:rsid w:val="0EA33B28"/>
    <w:rsid w:val="0F096081"/>
    <w:rsid w:val="0F36476C"/>
    <w:rsid w:val="0F3F1AA3"/>
    <w:rsid w:val="102C0D5D"/>
    <w:rsid w:val="105276E7"/>
    <w:rsid w:val="10685E27"/>
    <w:rsid w:val="1089744E"/>
    <w:rsid w:val="10DE3674"/>
    <w:rsid w:val="10F26C2A"/>
    <w:rsid w:val="10F60887"/>
    <w:rsid w:val="114D6EF2"/>
    <w:rsid w:val="11543544"/>
    <w:rsid w:val="1157173B"/>
    <w:rsid w:val="11CB5870"/>
    <w:rsid w:val="12082C45"/>
    <w:rsid w:val="1222745A"/>
    <w:rsid w:val="123051D2"/>
    <w:rsid w:val="12E82452"/>
    <w:rsid w:val="13050DF6"/>
    <w:rsid w:val="13557D81"/>
    <w:rsid w:val="138368CA"/>
    <w:rsid w:val="138959E3"/>
    <w:rsid w:val="13D36B88"/>
    <w:rsid w:val="13D843CC"/>
    <w:rsid w:val="147E12BF"/>
    <w:rsid w:val="14A405FA"/>
    <w:rsid w:val="14CE4D4D"/>
    <w:rsid w:val="15B90929"/>
    <w:rsid w:val="15EA14FE"/>
    <w:rsid w:val="163D4862"/>
    <w:rsid w:val="16DD6E12"/>
    <w:rsid w:val="16ED0036"/>
    <w:rsid w:val="172A07D4"/>
    <w:rsid w:val="17306E6C"/>
    <w:rsid w:val="17424826"/>
    <w:rsid w:val="17946704"/>
    <w:rsid w:val="17C367AD"/>
    <w:rsid w:val="17C52D61"/>
    <w:rsid w:val="182017EE"/>
    <w:rsid w:val="182C735A"/>
    <w:rsid w:val="183879D7"/>
    <w:rsid w:val="183D0CBA"/>
    <w:rsid w:val="184D351F"/>
    <w:rsid w:val="186D6628"/>
    <w:rsid w:val="187B06F8"/>
    <w:rsid w:val="18A26954"/>
    <w:rsid w:val="18F51424"/>
    <w:rsid w:val="18F768DA"/>
    <w:rsid w:val="191F585A"/>
    <w:rsid w:val="195645B9"/>
    <w:rsid w:val="19787F5C"/>
    <w:rsid w:val="199204FB"/>
    <w:rsid w:val="19993273"/>
    <w:rsid w:val="19C83B53"/>
    <w:rsid w:val="1A2F3625"/>
    <w:rsid w:val="1A3F2FDA"/>
    <w:rsid w:val="1A57262E"/>
    <w:rsid w:val="1A7538CC"/>
    <w:rsid w:val="1ADA6B24"/>
    <w:rsid w:val="1AEC415E"/>
    <w:rsid w:val="1AF6110E"/>
    <w:rsid w:val="1B177D55"/>
    <w:rsid w:val="1B4A1637"/>
    <w:rsid w:val="1B6F54BE"/>
    <w:rsid w:val="1B7233C3"/>
    <w:rsid w:val="1B997199"/>
    <w:rsid w:val="1C3109C5"/>
    <w:rsid w:val="1C613EAE"/>
    <w:rsid w:val="1C633A51"/>
    <w:rsid w:val="1C6B3C57"/>
    <w:rsid w:val="1C6D78EB"/>
    <w:rsid w:val="1C8513AC"/>
    <w:rsid w:val="1D043070"/>
    <w:rsid w:val="1D8E16BE"/>
    <w:rsid w:val="1DD42D05"/>
    <w:rsid w:val="1DDA0C27"/>
    <w:rsid w:val="1DE51BD0"/>
    <w:rsid w:val="1E241ED7"/>
    <w:rsid w:val="1E6C6D59"/>
    <w:rsid w:val="1E7C3987"/>
    <w:rsid w:val="1E7D1608"/>
    <w:rsid w:val="1EA27102"/>
    <w:rsid w:val="1EBA4301"/>
    <w:rsid w:val="1EC94C56"/>
    <w:rsid w:val="1EF9256C"/>
    <w:rsid w:val="1F130856"/>
    <w:rsid w:val="1F150595"/>
    <w:rsid w:val="1F5D7D23"/>
    <w:rsid w:val="1FD00A28"/>
    <w:rsid w:val="1FFE617F"/>
    <w:rsid w:val="201C650A"/>
    <w:rsid w:val="20735A50"/>
    <w:rsid w:val="20A45485"/>
    <w:rsid w:val="20D14264"/>
    <w:rsid w:val="20E57FD0"/>
    <w:rsid w:val="20FE18B0"/>
    <w:rsid w:val="21022575"/>
    <w:rsid w:val="212705E9"/>
    <w:rsid w:val="213018BF"/>
    <w:rsid w:val="214E1C23"/>
    <w:rsid w:val="21B26104"/>
    <w:rsid w:val="223B434C"/>
    <w:rsid w:val="22721D38"/>
    <w:rsid w:val="227547A1"/>
    <w:rsid w:val="22925F36"/>
    <w:rsid w:val="2293293E"/>
    <w:rsid w:val="234611FA"/>
    <w:rsid w:val="2360115A"/>
    <w:rsid w:val="23601D60"/>
    <w:rsid w:val="2369313B"/>
    <w:rsid w:val="23736B08"/>
    <w:rsid w:val="23846D03"/>
    <w:rsid w:val="23A67EEB"/>
    <w:rsid w:val="23AB4992"/>
    <w:rsid w:val="24064CAA"/>
    <w:rsid w:val="24232C08"/>
    <w:rsid w:val="246D5281"/>
    <w:rsid w:val="247753E3"/>
    <w:rsid w:val="24D23FF8"/>
    <w:rsid w:val="251C48F4"/>
    <w:rsid w:val="25493224"/>
    <w:rsid w:val="25496D80"/>
    <w:rsid w:val="256E4FC7"/>
    <w:rsid w:val="257D4C7B"/>
    <w:rsid w:val="25AF7C37"/>
    <w:rsid w:val="25BC798D"/>
    <w:rsid w:val="25C61809"/>
    <w:rsid w:val="25D30D3F"/>
    <w:rsid w:val="25F600A4"/>
    <w:rsid w:val="25F767DC"/>
    <w:rsid w:val="265E4AAD"/>
    <w:rsid w:val="26C21D62"/>
    <w:rsid w:val="26E6349F"/>
    <w:rsid w:val="26F61189"/>
    <w:rsid w:val="27123D70"/>
    <w:rsid w:val="276055B1"/>
    <w:rsid w:val="27675BE3"/>
    <w:rsid w:val="27A72484"/>
    <w:rsid w:val="27B03039"/>
    <w:rsid w:val="27BF157B"/>
    <w:rsid w:val="27C52D0F"/>
    <w:rsid w:val="27CB43C4"/>
    <w:rsid w:val="2844042C"/>
    <w:rsid w:val="2852346A"/>
    <w:rsid w:val="28904CC6"/>
    <w:rsid w:val="289360AA"/>
    <w:rsid w:val="28A933AF"/>
    <w:rsid w:val="28AB4C64"/>
    <w:rsid w:val="28D252DE"/>
    <w:rsid w:val="295A41E3"/>
    <w:rsid w:val="298951D4"/>
    <w:rsid w:val="298967EB"/>
    <w:rsid w:val="29DB3219"/>
    <w:rsid w:val="2A6D405B"/>
    <w:rsid w:val="2A796DD4"/>
    <w:rsid w:val="2AD01A20"/>
    <w:rsid w:val="2ADF3CE2"/>
    <w:rsid w:val="2B05642C"/>
    <w:rsid w:val="2B1517CD"/>
    <w:rsid w:val="2B362929"/>
    <w:rsid w:val="2B3758CC"/>
    <w:rsid w:val="2B3E62D2"/>
    <w:rsid w:val="2B6371BC"/>
    <w:rsid w:val="2B990335"/>
    <w:rsid w:val="2BB11E5C"/>
    <w:rsid w:val="2BD13ACB"/>
    <w:rsid w:val="2C077995"/>
    <w:rsid w:val="2C325210"/>
    <w:rsid w:val="2C5F19D5"/>
    <w:rsid w:val="2C7708E9"/>
    <w:rsid w:val="2CD9128F"/>
    <w:rsid w:val="2CDF51E7"/>
    <w:rsid w:val="2CF438AA"/>
    <w:rsid w:val="2D71156A"/>
    <w:rsid w:val="2D7F19E5"/>
    <w:rsid w:val="2D8A6187"/>
    <w:rsid w:val="2E577BE2"/>
    <w:rsid w:val="2E5858CC"/>
    <w:rsid w:val="2E827D64"/>
    <w:rsid w:val="2E861045"/>
    <w:rsid w:val="2EB3170E"/>
    <w:rsid w:val="2ECA65D4"/>
    <w:rsid w:val="2F0A75CB"/>
    <w:rsid w:val="2F0D0E1E"/>
    <w:rsid w:val="30204B81"/>
    <w:rsid w:val="303D3BD6"/>
    <w:rsid w:val="30901D07"/>
    <w:rsid w:val="30AA2A5A"/>
    <w:rsid w:val="30DD2A72"/>
    <w:rsid w:val="30DF16B6"/>
    <w:rsid w:val="30EC5125"/>
    <w:rsid w:val="30ED7159"/>
    <w:rsid w:val="314A25F5"/>
    <w:rsid w:val="31607C0D"/>
    <w:rsid w:val="31E4684D"/>
    <w:rsid w:val="323A39B2"/>
    <w:rsid w:val="324B4C30"/>
    <w:rsid w:val="32A221C5"/>
    <w:rsid w:val="32B96CE6"/>
    <w:rsid w:val="32D85BE7"/>
    <w:rsid w:val="330805C8"/>
    <w:rsid w:val="334F3E2F"/>
    <w:rsid w:val="33686F6B"/>
    <w:rsid w:val="341D71C9"/>
    <w:rsid w:val="34270F90"/>
    <w:rsid w:val="34401C96"/>
    <w:rsid w:val="34784DA1"/>
    <w:rsid w:val="353103B5"/>
    <w:rsid w:val="354C01C6"/>
    <w:rsid w:val="35673E41"/>
    <w:rsid w:val="35AE23E8"/>
    <w:rsid w:val="36287EA7"/>
    <w:rsid w:val="362E1495"/>
    <w:rsid w:val="36A62E46"/>
    <w:rsid w:val="36CF7301"/>
    <w:rsid w:val="36D6243D"/>
    <w:rsid w:val="36F86858"/>
    <w:rsid w:val="372958B0"/>
    <w:rsid w:val="373F7FE3"/>
    <w:rsid w:val="37447668"/>
    <w:rsid w:val="374B4BD9"/>
    <w:rsid w:val="379522F8"/>
    <w:rsid w:val="37A7713F"/>
    <w:rsid w:val="37EF1A09"/>
    <w:rsid w:val="37FD0D52"/>
    <w:rsid w:val="37FF04F1"/>
    <w:rsid w:val="38060B00"/>
    <w:rsid w:val="381A2389"/>
    <w:rsid w:val="38914569"/>
    <w:rsid w:val="39144DA1"/>
    <w:rsid w:val="392E6561"/>
    <w:rsid w:val="397523E2"/>
    <w:rsid w:val="39DC4913"/>
    <w:rsid w:val="39FA54D6"/>
    <w:rsid w:val="3A601D4D"/>
    <w:rsid w:val="3A816B64"/>
    <w:rsid w:val="3A8776D5"/>
    <w:rsid w:val="3A895415"/>
    <w:rsid w:val="3A995C5C"/>
    <w:rsid w:val="3AC23405"/>
    <w:rsid w:val="3AEA64B7"/>
    <w:rsid w:val="3B3354AD"/>
    <w:rsid w:val="3B6E533A"/>
    <w:rsid w:val="3B7C4152"/>
    <w:rsid w:val="3C7E335B"/>
    <w:rsid w:val="3C990CCE"/>
    <w:rsid w:val="3CAB1C76"/>
    <w:rsid w:val="3CD00AE3"/>
    <w:rsid w:val="3CF6148C"/>
    <w:rsid w:val="3D0531E3"/>
    <w:rsid w:val="3D1E4B3E"/>
    <w:rsid w:val="3D4C5207"/>
    <w:rsid w:val="3D805CA2"/>
    <w:rsid w:val="3D912B45"/>
    <w:rsid w:val="3E131113"/>
    <w:rsid w:val="3E391C30"/>
    <w:rsid w:val="3EB70DA6"/>
    <w:rsid w:val="3ED731F7"/>
    <w:rsid w:val="3F023DF0"/>
    <w:rsid w:val="3F5E5CF3"/>
    <w:rsid w:val="3F877A8D"/>
    <w:rsid w:val="3FE27106"/>
    <w:rsid w:val="3FF520AA"/>
    <w:rsid w:val="40093884"/>
    <w:rsid w:val="40550877"/>
    <w:rsid w:val="40F82226"/>
    <w:rsid w:val="415128B5"/>
    <w:rsid w:val="417A3A7D"/>
    <w:rsid w:val="418D1400"/>
    <w:rsid w:val="41944182"/>
    <w:rsid w:val="41AF188E"/>
    <w:rsid w:val="41D819F3"/>
    <w:rsid w:val="41E22C3E"/>
    <w:rsid w:val="41E73D47"/>
    <w:rsid w:val="41EE3A38"/>
    <w:rsid w:val="42050B36"/>
    <w:rsid w:val="421107CE"/>
    <w:rsid w:val="421B0D7D"/>
    <w:rsid w:val="422519D2"/>
    <w:rsid w:val="422C5623"/>
    <w:rsid w:val="425531DB"/>
    <w:rsid w:val="42576B28"/>
    <w:rsid w:val="42E87780"/>
    <w:rsid w:val="43476135"/>
    <w:rsid w:val="43601474"/>
    <w:rsid w:val="43AF029E"/>
    <w:rsid w:val="43CC52F4"/>
    <w:rsid w:val="442E7F4F"/>
    <w:rsid w:val="443D472F"/>
    <w:rsid w:val="449F56E5"/>
    <w:rsid w:val="44A75419"/>
    <w:rsid w:val="45172FAD"/>
    <w:rsid w:val="45376AF7"/>
    <w:rsid w:val="45660E30"/>
    <w:rsid w:val="459B252F"/>
    <w:rsid w:val="45A55DFD"/>
    <w:rsid w:val="45AB2CE7"/>
    <w:rsid w:val="45D77616"/>
    <w:rsid w:val="45DC10F2"/>
    <w:rsid w:val="45F95003"/>
    <w:rsid w:val="4647740F"/>
    <w:rsid w:val="46CB3641"/>
    <w:rsid w:val="473E2065"/>
    <w:rsid w:val="48241969"/>
    <w:rsid w:val="4834284E"/>
    <w:rsid w:val="48627FD5"/>
    <w:rsid w:val="48905CE5"/>
    <w:rsid w:val="48D72771"/>
    <w:rsid w:val="49454737"/>
    <w:rsid w:val="497F6965"/>
    <w:rsid w:val="49A32B11"/>
    <w:rsid w:val="49C07439"/>
    <w:rsid w:val="49CA2FD6"/>
    <w:rsid w:val="4A232A19"/>
    <w:rsid w:val="4AD74E3E"/>
    <w:rsid w:val="4B157580"/>
    <w:rsid w:val="4B433C62"/>
    <w:rsid w:val="4B6B7E0E"/>
    <w:rsid w:val="4B95421D"/>
    <w:rsid w:val="4BD60C88"/>
    <w:rsid w:val="4BDB1B46"/>
    <w:rsid w:val="4BEC2CBC"/>
    <w:rsid w:val="4C0F4D8B"/>
    <w:rsid w:val="4C56173B"/>
    <w:rsid w:val="4C5E0AB3"/>
    <w:rsid w:val="4C612351"/>
    <w:rsid w:val="4D2B1300"/>
    <w:rsid w:val="4D323F7C"/>
    <w:rsid w:val="4D4C4DB0"/>
    <w:rsid w:val="4D746CD8"/>
    <w:rsid w:val="4D7F7032"/>
    <w:rsid w:val="4DC31EF7"/>
    <w:rsid w:val="4DDC6134"/>
    <w:rsid w:val="4DFC0584"/>
    <w:rsid w:val="4E2875CB"/>
    <w:rsid w:val="4E3A10AC"/>
    <w:rsid w:val="4E5B34FC"/>
    <w:rsid w:val="4EA406B4"/>
    <w:rsid w:val="4EA52C2F"/>
    <w:rsid w:val="4ED70257"/>
    <w:rsid w:val="4EF40429"/>
    <w:rsid w:val="4F0F417F"/>
    <w:rsid w:val="4F4D28AB"/>
    <w:rsid w:val="4F4E4E0F"/>
    <w:rsid w:val="4F967E30"/>
    <w:rsid w:val="4FA12347"/>
    <w:rsid w:val="4FC910B7"/>
    <w:rsid w:val="4FE0320C"/>
    <w:rsid w:val="4FF9121F"/>
    <w:rsid w:val="507B7E86"/>
    <w:rsid w:val="516277F3"/>
    <w:rsid w:val="519F057A"/>
    <w:rsid w:val="51B86EB8"/>
    <w:rsid w:val="51D57A6A"/>
    <w:rsid w:val="51F31C9E"/>
    <w:rsid w:val="52036385"/>
    <w:rsid w:val="5219531B"/>
    <w:rsid w:val="521C7446"/>
    <w:rsid w:val="522B130D"/>
    <w:rsid w:val="52344790"/>
    <w:rsid w:val="52525B7C"/>
    <w:rsid w:val="52B172BD"/>
    <w:rsid w:val="52D22087"/>
    <w:rsid w:val="53110B80"/>
    <w:rsid w:val="532D74D7"/>
    <w:rsid w:val="53395DD6"/>
    <w:rsid w:val="534D6A6D"/>
    <w:rsid w:val="543E202D"/>
    <w:rsid w:val="544669FD"/>
    <w:rsid w:val="544D1B39"/>
    <w:rsid w:val="545F361A"/>
    <w:rsid w:val="54A44DC8"/>
    <w:rsid w:val="55110DB9"/>
    <w:rsid w:val="5542072F"/>
    <w:rsid w:val="55EF259E"/>
    <w:rsid w:val="56140AD6"/>
    <w:rsid w:val="56260316"/>
    <w:rsid w:val="56552F27"/>
    <w:rsid w:val="56B92B67"/>
    <w:rsid w:val="56CD377D"/>
    <w:rsid w:val="570A2204"/>
    <w:rsid w:val="571C1C97"/>
    <w:rsid w:val="579F4C22"/>
    <w:rsid w:val="57A9177C"/>
    <w:rsid w:val="57D63F0A"/>
    <w:rsid w:val="57E722A5"/>
    <w:rsid w:val="580F336B"/>
    <w:rsid w:val="58950225"/>
    <w:rsid w:val="58E80F64"/>
    <w:rsid w:val="58FE1654"/>
    <w:rsid w:val="590B3D71"/>
    <w:rsid w:val="59140E14"/>
    <w:rsid w:val="59434865"/>
    <w:rsid w:val="599B18C7"/>
    <w:rsid w:val="59A241D7"/>
    <w:rsid w:val="59BF7377"/>
    <w:rsid w:val="59CD1026"/>
    <w:rsid w:val="59CE4859"/>
    <w:rsid w:val="5A676A99"/>
    <w:rsid w:val="5A72647D"/>
    <w:rsid w:val="5A7F43A7"/>
    <w:rsid w:val="5ADC2D5B"/>
    <w:rsid w:val="5AFF5DA1"/>
    <w:rsid w:val="5BCC5A39"/>
    <w:rsid w:val="5BDC37A3"/>
    <w:rsid w:val="5BFC5D6A"/>
    <w:rsid w:val="5C1061B6"/>
    <w:rsid w:val="5C8276A5"/>
    <w:rsid w:val="5C86364E"/>
    <w:rsid w:val="5C98591B"/>
    <w:rsid w:val="5CAA7088"/>
    <w:rsid w:val="5CDA4186"/>
    <w:rsid w:val="5CFF3BED"/>
    <w:rsid w:val="5D1E09AC"/>
    <w:rsid w:val="5D593EFB"/>
    <w:rsid w:val="5DB00E54"/>
    <w:rsid w:val="5DCB0A44"/>
    <w:rsid w:val="5DE43227"/>
    <w:rsid w:val="5DF67CF5"/>
    <w:rsid w:val="5E0F1B60"/>
    <w:rsid w:val="5E145476"/>
    <w:rsid w:val="5E2402CB"/>
    <w:rsid w:val="5E68756F"/>
    <w:rsid w:val="5F0D0843"/>
    <w:rsid w:val="5F5A7A40"/>
    <w:rsid w:val="5FAB4E04"/>
    <w:rsid w:val="5FAF237A"/>
    <w:rsid w:val="601B2738"/>
    <w:rsid w:val="601F4D9A"/>
    <w:rsid w:val="60330432"/>
    <w:rsid w:val="604A517F"/>
    <w:rsid w:val="60691B0E"/>
    <w:rsid w:val="60917251"/>
    <w:rsid w:val="60965952"/>
    <w:rsid w:val="60CA5402"/>
    <w:rsid w:val="6142679E"/>
    <w:rsid w:val="614E24BD"/>
    <w:rsid w:val="61506056"/>
    <w:rsid w:val="61664E82"/>
    <w:rsid w:val="616C5DB0"/>
    <w:rsid w:val="61C55405"/>
    <w:rsid w:val="61CA737D"/>
    <w:rsid w:val="620C5121"/>
    <w:rsid w:val="6223212B"/>
    <w:rsid w:val="623C4F9B"/>
    <w:rsid w:val="629D0130"/>
    <w:rsid w:val="629D3C8C"/>
    <w:rsid w:val="62D855FE"/>
    <w:rsid w:val="63102F54"/>
    <w:rsid w:val="63204B06"/>
    <w:rsid w:val="632A6625"/>
    <w:rsid w:val="632E6FAF"/>
    <w:rsid w:val="63674DD4"/>
    <w:rsid w:val="638C5B20"/>
    <w:rsid w:val="63A159FD"/>
    <w:rsid w:val="63A73EFF"/>
    <w:rsid w:val="63A96567"/>
    <w:rsid w:val="63B76FCF"/>
    <w:rsid w:val="64174712"/>
    <w:rsid w:val="646031C3"/>
    <w:rsid w:val="646627A3"/>
    <w:rsid w:val="64B72EF7"/>
    <w:rsid w:val="64CB02A7"/>
    <w:rsid w:val="64E35BA2"/>
    <w:rsid w:val="651D7306"/>
    <w:rsid w:val="654725D5"/>
    <w:rsid w:val="65565DB0"/>
    <w:rsid w:val="65913308"/>
    <w:rsid w:val="65937DD8"/>
    <w:rsid w:val="65997BCC"/>
    <w:rsid w:val="659B0AC7"/>
    <w:rsid w:val="65BD20CA"/>
    <w:rsid w:val="65D21EA8"/>
    <w:rsid w:val="665C0073"/>
    <w:rsid w:val="667146DD"/>
    <w:rsid w:val="66855163"/>
    <w:rsid w:val="66FC345E"/>
    <w:rsid w:val="670C0AD8"/>
    <w:rsid w:val="67205C40"/>
    <w:rsid w:val="674566A0"/>
    <w:rsid w:val="67564D51"/>
    <w:rsid w:val="675C5B0A"/>
    <w:rsid w:val="67750E61"/>
    <w:rsid w:val="678048A7"/>
    <w:rsid w:val="67C07CC3"/>
    <w:rsid w:val="67D11C12"/>
    <w:rsid w:val="6822715F"/>
    <w:rsid w:val="684B418A"/>
    <w:rsid w:val="68501A14"/>
    <w:rsid w:val="688B5282"/>
    <w:rsid w:val="68A241CC"/>
    <w:rsid w:val="68A94442"/>
    <w:rsid w:val="68F93BE6"/>
    <w:rsid w:val="69401221"/>
    <w:rsid w:val="69A04061"/>
    <w:rsid w:val="69F13B6B"/>
    <w:rsid w:val="6A1011E7"/>
    <w:rsid w:val="6A582B8E"/>
    <w:rsid w:val="6A6E5888"/>
    <w:rsid w:val="6A9F07BD"/>
    <w:rsid w:val="6B16438A"/>
    <w:rsid w:val="6B1872C5"/>
    <w:rsid w:val="6B1C51D6"/>
    <w:rsid w:val="6B4C26F3"/>
    <w:rsid w:val="6B511AB7"/>
    <w:rsid w:val="6BC66542"/>
    <w:rsid w:val="6BDD334B"/>
    <w:rsid w:val="6BE42437"/>
    <w:rsid w:val="6BF35C41"/>
    <w:rsid w:val="6C1B3E73"/>
    <w:rsid w:val="6C7523AC"/>
    <w:rsid w:val="6CFF1222"/>
    <w:rsid w:val="6D387514"/>
    <w:rsid w:val="6D3A566A"/>
    <w:rsid w:val="6D417909"/>
    <w:rsid w:val="6D9A11B3"/>
    <w:rsid w:val="6DA30F67"/>
    <w:rsid w:val="6DBC4133"/>
    <w:rsid w:val="6DCF13B9"/>
    <w:rsid w:val="6DEE183F"/>
    <w:rsid w:val="6EA04ECD"/>
    <w:rsid w:val="6EF54E4F"/>
    <w:rsid w:val="6F342AA7"/>
    <w:rsid w:val="6F5D3510"/>
    <w:rsid w:val="6FED5B27"/>
    <w:rsid w:val="70B0102E"/>
    <w:rsid w:val="70C44AD9"/>
    <w:rsid w:val="70D25448"/>
    <w:rsid w:val="712025B3"/>
    <w:rsid w:val="712447AC"/>
    <w:rsid w:val="714303F5"/>
    <w:rsid w:val="71706A4F"/>
    <w:rsid w:val="71CE0B0D"/>
    <w:rsid w:val="72023B0B"/>
    <w:rsid w:val="724A7260"/>
    <w:rsid w:val="73064728"/>
    <w:rsid w:val="7338032E"/>
    <w:rsid w:val="73395FA4"/>
    <w:rsid w:val="7343494B"/>
    <w:rsid w:val="73980F2F"/>
    <w:rsid w:val="73F904AD"/>
    <w:rsid w:val="73FC03EA"/>
    <w:rsid w:val="740F5E5F"/>
    <w:rsid w:val="74277859"/>
    <w:rsid w:val="743E0ECD"/>
    <w:rsid w:val="74646EF7"/>
    <w:rsid w:val="746D4FEC"/>
    <w:rsid w:val="74BC2FE1"/>
    <w:rsid w:val="74D91082"/>
    <w:rsid w:val="754E6954"/>
    <w:rsid w:val="75720FA8"/>
    <w:rsid w:val="75840CDB"/>
    <w:rsid w:val="75874EF1"/>
    <w:rsid w:val="75A5137D"/>
    <w:rsid w:val="75B80467"/>
    <w:rsid w:val="75ED65B4"/>
    <w:rsid w:val="76264037"/>
    <w:rsid w:val="7655033D"/>
    <w:rsid w:val="768D3A6A"/>
    <w:rsid w:val="76A809F9"/>
    <w:rsid w:val="76D117CD"/>
    <w:rsid w:val="76D626BD"/>
    <w:rsid w:val="76DB16C1"/>
    <w:rsid w:val="76DC7890"/>
    <w:rsid w:val="76E023A5"/>
    <w:rsid w:val="76FB128E"/>
    <w:rsid w:val="76FC1D7F"/>
    <w:rsid w:val="774723A6"/>
    <w:rsid w:val="774A0C5F"/>
    <w:rsid w:val="77823041"/>
    <w:rsid w:val="77861935"/>
    <w:rsid w:val="77966B51"/>
    <w:rsid w:val="77B27E50"/>
    <w:rsid w:val="77E65D24"/>
    <w:rsid w:val="77EB5041"/>
    <w:rsid w:val="78210A63"/>
    <w:rsid w:val="78220195"/>
    <w:rsid w:val="78387580"/>
    <w:rsid w:val="783C6613"/>
    <w:rsid w:val="784441FF"/>
    <w:rsid w:val="7866291A"/>
    <w:rsid w:val="789F344B"/>
    <w:rsid w:val="78F85C68"/>
    <w:rsid w:val="790C34C1"/>
    <w:rsid w:val="791574E6"/>
    <w:rsid w:val="79240EF0"/>
    <w:rsid w:val="792D7B74"/>
    <w:rsid w:val="794531C0"/>
    <w:rsid w:val="7980482E"/>
    <w:rsid w:val="79921C19"/>
    <w:rsid w:val="79A064AA"/>
    <w:rsid w:val="79AE27CB"/>
    <w:rsid w:val="79B10543"/>
    <w:rsid w:val="79BA116F"/>
    <w:rsid w:val="7A55245C"/>
    <w:rsid w:val="7A597830"/>
    <w:rsid w:val="7A5A45A6"/>
    <w:rsid w:val="7A63411A"/>
    <w:rsid w:val="7B203254"/>
    <w:rsid w:val="7B2F3497"/>
    <w:rsid w:val="7B41739F"/>
    <w:rsid w:val="7B711D02"/>
    <w:rsid w:val="7BD61C67"/>
    <w:rsid w:val="7C0B3F04"/>
    <w:rsid w:val="7C1C1C6D"/>
    <w:rsid w:val="7C3D05FE"/>
    <w:rsid w:val="7CA2442F"/>
    <w:rsid w:val="7D225095"/>
    <w:rsid w:val="7D2B7671"/>
    <w:rsid w:val="7D584CFF"/>
    <w:rsid w:val="7DA53BDF"/>
    <w:rsid w:val="7E143F93"/>
    <w:rsid w:val="7E457AC8"/>
    <w:rsid w:val="7E505BFE"/>
    <w:rsid w:val="7E694F12"/>
    <w:rsid w:val="7E7044F2"/>
    <w:rsid w:val="7E815505"/>
    <w:rsid w:val="7F3C5B36"/>
    <w:rsid w:val="7F8244DD"/>
    <w:rsid w:val="7F902A52"/>
    <w:rsid w:val="7F912972"/>
    <w:rsid w:val="7FE40CF4"/>
    <w:rsid w:val="7FEE56CF"/>
    <w:rsid w:val="F3D62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35"/>
    <w:qFormat/>
    <w:uiPriority w:val="9"/>
    <w:pPr>
      <w:keepNext/>
      <w:keepLines/>
      <w:numPr>
        <w:ilvl w:val="0"/>
        <w:numId w:val="1"/>
      </w:numPr>
      <w:spacing w:before="240" w:after="240"/>
      <w:ind w:left="431" w:hanging="431"/>
      <w:outlineLvl w:val="0"/>
    </w:pPr>
    <w:rPr>
      <w:b/>
      <w:bCs/>
      <w:kern w:val="44"/>
      <w:sz w:val="48"/>
      <w:szCs w:val="44"/>
    </w:rPr>
  </w:style>
  <w:style w:type="paragraph" w:styleId="3">
    <w:name w:val="heading 2"/>
    <w:basedOn w:val="1"/>
    <w:next w:val="1"/>
    <w:link w:val="36"/>
    <w:unhideWhenUsed/>
    <w:qFormat/>
    <w:uiPriority w:val="9"/>
    <w:pPr>
      <w:keepNext/>
      <w:keepLines/>
      <w:numPr>
        <w:ilvl w:val="1"/>
        <w:numId w:val="1"/>
      </w:numPr>
      <w:tabs>
        <w:tab w:val="left" w:pos="851"/>
      </w:tabs>
      <w:spacing w:before="240" w:after="240"/>
      <w:outlineLvl w:val="1"/>
    </w:pPr>
    <w:rPr>
      <w:rFonts w:cstheme="majorBidi"/>
      <w:b/>
      <w:bCs/>
      <w:sz w:val="44"/>
      <w:szCs w:val="32"/>
    </w:rPr>
  </w:style>
  <w:style w:type="paragraph" w:styleId="4">
    <w:name w:val="heading 3"/>
    <w:basedOn w:val="1"/>
    <w:next w:val="1"/>
    <w:link w:val="37"/>
    <w:unhideWhenUsed/>
    <w:qFormat/>
    <w:uiPriority w:val="9"/>
    <w:pPr>
      <w:keepNext/>
      <w:keepLines/>
      <w:numPr>
        <w:ilvl w:val="2"/>
        <w:numId w:val="1"/>
      </w:numPr>
      <w:tabs>
        <w:tab w:val="left" w:pos="993"/>
      </w:tabs>
      <w:spacing w:before="240" w:after="240"/>
      <w:ind w:left="993" w:hanging="993"/>
      <w:outlineLvl w:val="2"/>
    </w:pPr>
    <w:rPr>
      <w:b/>
      <w:bCs/>
      <w:sz w:val="36"/>
      <w:szCs w:val="32"/>
    </w:rPr>
  </w:style>
  <w:style w:type="paragraph" w:styleId="5">
    <w:name w:val="heading 4"/>
    <w:basedOn w:val="1"/>
    <w:next w:val="1"/>
    <w:link w:val="38"/>
    <w:unhideWhenUsed/>
    <w:qFormat/>
    <w:uiPriority w:val="9"/>
    <w:pPr>
      <w:keepNext/>
      <w:keepLines/>
      <w:numPr>
        <w:ilvl w:val="3"/>
        <w:numId w:val="1"/>
      </w:numPr>
      <w:tabs>
        <w:tab w:val="left" w:pos="1276"/>
      </w:tabs>
      <w:spacing w:before="240" w:after="240"/>
      <w:outlineLvl w:val="3"/>
    </w:pPr>
    <w:rPr>
      <w:rFonts w:cstheme="majorBidi"/>
      <w:b/>
      <w:bCs/>
      <w:sz w:val="32"/>
      <w:szCs w:val="28"/>
    </w:rPr>
  </w:style>
  <w:style w:type="paragraph" w:styleId="6">
    <w:name w:val="heading 5"/>
    <w:basedOn w:val="1"/>
    <w:next w:val="1"/>
    <w:link w:val="39"/>
    <w:unhideWhenUsed/>
    <w:qFormat/>
    <w:uiPriority w:val="9"/>
    <w:pPr>
      <w:keepNext/>
      <w:keepLines/>
      <w:numPr>
        <w:ilvl w:val="4"/>
        <w:numId w:val="1"/>
      </w:numPr>
      <w:spacing w:before="120" w:after="120"/>
      <w:ind w:left="1009" w:hanging="1009"/>
      <w:outlineLvl w:val="4"/>
    </w:pPr>
    <w:rPr>
      <w:b/>
      <w:bCs/>
      <w:sz w:val="28"/>
      <w:szCs w:val="28"/>
    </w:rPr>
  </w:style>
  <w:style w:type="paragraph" w:styleId="7">
    <w:name w:val="heading 6"/>
    <w:basedOn w:val="1"/>
    <w:next w:val="1"/>
    <w:link w:val="40"/>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1"/>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42"/>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43"/>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9">
    <w:name w:val="Default Paragraph Font"/>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asciiTheme="minorHAnsi" w:hAnsiTheme="minorHAnsi" w:cstheme="minorHAnsi"/>
      <w:sz w:val="18"/>
      <w:szCs w:val="18"/>
    </w:rPr>
  </w:style>
  <w:style w:type="paragraph" w:styleId="12">
    <w:name w:val="Normal Indent"/>
    <w:basedOn w:val="1"/>
    <w:link w:val="54"/>
    <w:qFormat/>
    <w:uiPriority w:val="0"/>
    <w:pPr>
      <w:ind w:firstLine="420" w:firstLineChars="200"/>
    </w:pPr>
    <w:rPr>
      <w:rFonts w:cs="Times New Roman"/>
      <w:szCs w:val="24"/>
    </w:rPr>
  </w:style>
  <w:style w:type="paragraph" w:styleId="13">
    <w:name w:val="annotation text"/>
    <w:basedOn w:val="1"/>
    <w:link w:val="49"/>
    <w:unhideWhenUsed/>
    <w:qFormat/>
    <w:uiPriority w:val="99"/>
    <w:pPr>
      <w:jc w:val="left"/>
    </w:pPr>
  </w:style>
  <w:style w:type="paragraph" w:styleId="14">
    <w:name w:val="Body Text 3"/>
    <w:basedOn w:val="1"/>
    <w:link w:val="55"/>
    <w:qFormat/>
    <w:uiPriority w:val="0"/>
    <w:pPr>
      <w:spacing w:after="120"/>
    </w:pPr>
    <w:rPr>
      <w:rFonts w:cs="Times New Roman"/>
      <w:sz w:val="16"/>
      <w:szCs w:val="16"/>
    </w:rPr>
  </w:style>
  <w:style w:type="paragraph" w:styleId="15">
    <w:name w:val="toc 5"/>
    <w:basedOn w:val="1"/>
    <w:next w:val="1"/>
    <w:unhideWhenUsed/>
    <w:qFormat/>
    <w:uiPriority w:val="39"/>
    <w:pPr>
      <w:ind w:left="840"/>
      <w:jc w:val="left"/>
    </w:pPr>
    <w:rPr>
      <w:rFonts w:asciiTheme="minorHAnsi" w:hAnsiTheme="minorHAnsi" w:cstheme="minorHAnsi"/>
      <w:sz w:val="18"/>
      <w:szCs w:val="18"/>
    </w:rPr>
  </w:style>
  <w:style w:type="paragraph" w:styleId="16">
    <w:name w:val="toc 3"/>
    <w:basedOn w:val="1"/>
    <w:next w:val="1"/>
    <w:unhideWhenUsed/>
    <w:qFormat/>
    <w:uiPriority w:val="39"/>
    <w:pPr>
      <w:ind w:left="420"/>
      <w:jc w:val="left"/>
    </w:pPr>
    <w:rPr>
      <w:rFonts w:asciiTheme="minorHAnsi" w:hAnsiTheme="minorHAnsi" w:cstheme="minorHAnsi"/>
      <w:i/>
      <w:iCs/>
      <w:sz w:val="20"/>
      <w:szCs w:val="20"/>
    </w:rPr>
  </w:style>
  <w:style w:type="paragraph" w:styleId="17">
    <w:name w:val="toc 8"/>
    <w:basedOn w:val="1"/>
    <w:next w:val="1"/>
    <w:unhideWhenUsed/>
    <w:qFormat/>
    <w:uiPriority w:val="39"/>
    <w:pPr>
      <w:ind w:left="1470"/>
      <w:jc w:val="left"/>
    </w:pPr>
    <w:rPr>
      <w:rFonts w:asciiTheme="minorHAnsi" w:hAnsiTheme="minorHAnsi" w:cstheme="minorHAnsi"/>
      <w:sz w:val="18"/>
      <w:szCs w:val="18"/>
    </w:rPr>
  </w:style>
  <w:style w:type="paragraph" w:styleId="18">
    <w:name w:val="Balloon Text"/>
    <w:basedOn w:val="1"/>
    <w:link w:val="48"/>
    <w:semiHidden/>
    <w:unhideWhenUsed/>
    <w:qFormat/>
    <w:uiPriority w:val="99"/>
    <w:rPr>
      <w:sz w:val="18"/>
      <w:szCs w:val="18"/>
    </w:rPr>
  </w:style>
  <w:style w:type="paragraph" w:styleId="19">
    <w:name w:val="footer"/>
    <w:basedOn w:val="1"/>
    <w:link w:val="33"/>
    <w:unhideWhenUsed/>
    <w:qFormat/>
    <w:uiPriority w:val="99"/>
    <w:pPr>
      <w:tabs>
        <w:tab w:val="center" w:pos="4153"/>
        <w:tab w:val="right" w:pos="8306"/>
      </w:tabs>
      <w:snapToGrid w:val="0"/>
      <w:jc w:val="left"/>
    </w:pPr>
    <w:rPr>
      <w:sz w:val="18"/>
      <w:szCs w:val="18"/>
    </w:rPr>
  </w:style>
  <w:style w:type="paragraph" w:styleId="20">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tabs>
        <w:tab w:val="left" w:pos="420"/>
        <w:tab w:val="right" w:leader="dot" w:pos="8494"/>
      </w:tabs>
      <w:spacing w:before="120" w:after="120"/>
      <w:jc w:val="left"/>
    </w:pPr>
    <w:rPr>
      <w:rFonts w:asciiTheme="minorHAnsi" w:hAnsiTheme="minorHAnsi" w:cstheme="minorHAnsi"/>
      <w:b/>
      <w:bCs/>
      <w:caps/>
      <w:sz w:val="20"/>
      <w:szCs w:val="20"/>
    </w:rPr>
  </w:style>
  <w:style w:type="paragraph" w:styleId="22">
    <w:name w:val="toc 4"/>
    <w:basedOn w:val="1"/>
    <w:next w:val="1"/>
    <w:unhideWhenUsed/>
    <w:qFormat/>
    <w:uiPriority w:val="39"/>
    <w:pPr>
      <w:ind w:left="630"/>
      <w:jc w:val="left"/>
    </w:pPr>
    <w:rPr>
      <w:rFonts w:asciiTheme="minorHAnsi" w:hAnsiTheme="minorHAnsi" w:cstheme="minorHAnsi"/>
      <w:sz w:val="18"/>
      <w:szCs w:val="18"/>
    </w:rPr>
  </w:style>
  <w:style w:type="paragraph" w:styleId="23">
    <w:name w:val="toc 6"/>
    <w:basedOn w:val="1"/>
    <w:next w:val="1"/>
    <w:unhideWhenUsed/>
    <w:qFormat/>
    <w:uiPriority w:val="39"/>
    <w:pPr>
      <w:ind w:left="1050"/>
      <w:jc w:val="left"/>
    </w:pPr>
    <w:rPr>
      <w:rFonts w:asciiTheme="minorHAnsi" w:hAnsiTheme="minorHAnsi" w:cstheme="minorHAnsi"/>
      <w:sz w:val="18"/>
      <w:szCs w:val="18"/>
    </w:rPr>
  </w:style>
  <w:style w:type="paragraph" w:styleId="24">
    <w:name w:val="toc 2"/>
    <w:basedOn w:val="1"/>
    <w:next w:val="1"/>
    <w:unhideWhenUsed/>
    <w:qFormat/>
    <w:uiPriority w:val="39"/>
    <w:pPr>
      <w:ind w:left="210"/>
      <w:jc w:val="left"/>
    </w:pPr>
    <w:rPr>
      <w:rFonts w:asciiTheme="minorHAnsi" w:hAnsiTheme="minorHAnsi" w:cstheme="minorHAnsi"/>
      <w:smallCaps/>
      <w:sz w:val="20"/>
      <w:szCs w:val="20"/>
    </w:rPr>
  </w:style>
  <w:style w:type="paragraph" w:styleId="25">
    <w:name w:val="toc 9"/>
    <w:basedOn w:val="1"/>
    <w:next w:val="1"/>
    <w:unhideWhenUsed/>
    <w:qFormat/>
    <w:uiPriority w:val="39"/>
    <w:pPr>
      <w:ind w:left="1680"/>
      <w:jc w:val="left"/>
    </w:pPr>
    <w:rPr>
      <w:rFonts w:asciiTheme="minorHAnsi" w:hAnsiTheme="minorHAnsi" w:cstheme="minorHAnsi"/>
      <w:sz w:val="18"/>
      <w:szCs w:val="18"/>
    </w:rPr>
  </w:style>
  <w:style w:type="paragraph" w:styleId="26">
    <w:name w:val="annotation subject"/>
    <w:basedOn w:val="13"/>
    <w:next w:val="13"/>
    <w:link w:val="50"/>
    <w:semiHidden/>
    <w:unhideWhenUsed/>
    <w:qFormat/>
    <w:uiPriority w:val="99"/>
    <w:rPr>
      <w:b/>
      <w:bCs/>
    </w:rPr>
  </w:style>
  <w:style w:type="table" w:styleId="28">
    <w:name w:val="Table Grid"/>
    <w:basedOn w:val="2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Hyperlink"/>
    <w:basedOn w:val="29"/>
    <w:unhideWhenUsed/>
    <w:qFormat/>
    <w:uiPriority w:val="99"/>
    <w:rPr>
      <w:color w:val="0563C1" w:themeColor="hyperlink"/>
      <w:u w:val="single"/>
      <w14:textFill>
        <w14:solidFill>
          <w14:schemeClr w14:val="hlink"/>
        </w14:solidFill>
      </w14:textFill>
    </w:rPr>
  </w:style>
  <w:style w:type="character" w:styleId="31">
    <w:name w:val="annotation reference"/>
    <w:basedOn w:val="29"/>
    <w:semiHidden/>
    <w:unhideWhenUsed/>
    <w:qFormat/>
    <w:uiPriority w:val="99"/>
    <w:rPr>
      <w:sz w:val="21"/>
      <w:szCs w:val="21"/>
    </w:rPr>
  </w:style>
  <w:style w:type="character" w:customStyle="1" w:styleId="32">
    <w:name w:val="页眉 字符"/>
    <w:basedOn w:val="29"/>
    <w:link w:val="20"/>
    <w:qFormat/>
    <w:uiPriority w:val="99"/>
    <w:rPr>
      <w:sz w:val="18"/>
      <w:szCs w:val="18"/>
    </w:rPr>
  </w:style>
  <w:style w:type="character" w:customStyle="1" w:styleId="33">
    <w:name w:val="页脚 字符"/>
    <w:basedOn w:val="29"/>
    <w:link w:val="19"/>
    <w:qFormat/>
    <w:uiPriority w:val="99"/>
    <w:rPr>
      <w:sz w:val="18"/>
      <w:szCs w:val="18"/>
    </w:rPr>
  </w:style>
  <w:style w:type="paragraph" w:styleId="34">
    <w:name w:val="List Paragraph"/>
    <w:basedOn w:val="1"/>
    <w:qFormat/>
    <w:uiPriority w:val="34"/>
    <w:pPr>
      <w:ind w:firstLine="420" w:firstLineChars="200"/>
    </w:pPr>
  </w:style>
  <w:style w:type="character" w:customStyle="1" w:styleId="35">
    <w:name w:val="标题 1 字符"/>
    <w:basedOn w:val="29"/>
    <w:link w:val="2"/>
    <w:qFormat/>
    <w:uiPriority w:val="9"/>
    <w:rPr>
      <w:rFonts w:ascii="Times New Roman" w:hAnsi="Times New Roman"/>
      <w:b/>
      <w:bCs/>
      <w:kern w:val="44"/>
      <w:sz w:val="48"/>
      <w:szCs w:val="44"/>
    </w:rPr>
  </w:style>
  <w:style w:type="character" w:customStyle="1" w:styleId="36">
    <w:name w:val="标题 2 字符"/>
    <w:basedOn w:val="29"/>
    <w:link w:val="3"/>
    <w:qFormat/>
    <w:uiPriority w:val="9"/>
    <w:rPr>
      <w:rFonts w:ascii="Times New Roman" w:hAnsi="Times New Roman" w:cstheme="majorBidi"/>
      <w:b/>
      <w:bCs/>
      <w:sz w:val="44"/>
      <w:szCs w:val="32"/>
    </w:rPr>
  </w:style>
  <w:style w:type="character" w:customStyle="1" w:styleId="37">
    <w:name w:val="标题 3 字符"/>
    <w:basedOn w:val="29"/>
    <w:link w:val="4"/>
    <w:qFormat/>
    <w:uiPriority w:val="9"/>
    <w:rPr>
      <w:rFonts w:ascii="Times New Roman" w:hAnsi="Times New Roman"/>
      <w:b/>
      <w:bCs/>
      <w:sz w:val="36"/>
      <w:szCs w:val="32"/>
    </w:rPr>
  </w:style>
  <w:style w:type="character" w:customStyle="1" w:styleId="38">
    <w:name w:val="标题 4 字符"/>
    <w:basedOn w:val="29"/>
    <w:link w:val="5"/>
    <w:qFormat/>
    <w:uiPriority w:val="9"/>
    <w:rPr>
      <w:rFonts w:ascii="Times New Roman" w:hAnsi="Times New Roman" w:cstheme="majorBidi"/>
      <w:b/>
      <w:bCs/>
      <w:sz w:val="32"/>
      <w:szCs w:val="28"/>
    </w:rPr>
  </w:style>
  <w:style w:type="character" w:customStyle="1" w:styleId="39">
    <w:name w:val="标题 5 字符"/>
    <w:basedOn w:val="29"/>
    <w:link w:val="6"/>
    <w:qFormat/>
    <w:uiPriority w:val="9"/>
    <w:rPr>
      <w:rFonts w:ascii="Times New Roman" w:hAnsi="Times New Roman"/>
      <w:b/>
      <w:bCs/>
      <w:sz w:val="28"/>
      <w:szCs w:val="28"/>
    </w:rPr>
  </w:style>
  <w:style w:type="character" w:customStyle="1" w:styleId="40">
    <w:name w:val="标题 6 字符"/>
    <w:basedOn w:val="29"/>
    <w:link w:val="7"/>
    <w:qFormat/>
    <w:uiPriority w:val="9"/>
    <w:rPr>
      <w:rFonts w:asciiTheme="majorHAnsi" w:hAnsiTheme="majorHAnsi" w:eastAsiaTheme="majorEastAsia" w:cstheme="majorBidi"/>
      <w:b/>
      <w:bCs/>
      <w:sz w:val="24"/>
      <w:szCs w:val="24"/>
    </w:rPr>
  </w:style>
  <w:style w:type="character" w:customStyle="1" w:styleId="41">
    <w:name w:val="标题 7 字符"/>
    <w:basedOn w:val="29"/>
    <w:link w:val="8"/>
    <w:qFormat/>
    <w:uiPriority w:val="9"/>
    <w:rPr>
      <w:rFonts w:ascii="Times New Roman" w:hAnsi="Times New Roman"/>
      <w:b/>
      <w:bCs/>
      <w:sz w:val="24"/>
      <w:szCs w:val="24"/>
    </w:rPr>
  </w:style>
  <w:style w:type="character" w:customStyle="1" w:styleId="42">
    <w:name w:val="标题 8 字符"/>
    <w:basedOn w:val="29"/>
    <w:link w:val="9"/>
    <w:semiHidden/>
    <w:qFormat/>
    <w:uiPriority w:val="9"/>
    <w:rPr>
      <w:rFonts w:asciiTheme="majorHAnsi" w:hAnsiTheme="majorHAnsi" w:eastAsiaTheme="majorEastAsia" w:cstheme="majorBidi"/>
      <w:sz w:val="24"/>
      <w:szCs w:val="24"/>
    </w:rPr>
  </w:style>
  <w:style w:type="character" w:customStyle="1" w:styleId="43">
    <w:name w:val="标题 9 字符"/>
    <w:basedOn w:val="29"/>
    <w:link w:val="10"/>
    <w:semiHidden/>
    <w:qFormat/>
    <w:uiPriority w:val="9"/>
    <w:rPr>
      <w:rFonts w:asciiTheme="majorHAnsi" w:hAnsiTheme="majorHAnsi" w:eastAsiaTheme="majorEastAsia" w:cstheme="majorBidi"/>
      <w:szCs w:val="21"/>
    </w:rPr>
  </w:style>
  <w:style w:type="paragraph" w:customStyle="1" w:styleId="44">
    <w:name w:val="正文段落"/>
    <w:basedOn w:val="1"/>
    <w:link w:val="46"/>
    <w:qFormat/>
    <w:uiPriority w:val="0"/>
    <w:pPr>
      <w:spacing w:before="50" w:beforeLines="50" w:after="50" w:afterLines="50"/>
      <w:ind w:firstLine="200" w:firstLineChars="200"/>
    </w:pPr>
    <w:rPr>
      <w:sz w:val="24"/>
    </w:rPr>
  </w:style>
  <w:style w:type="paragraph" w:customStyle="1" w:styleId="45">
    <w:name w:val="表格标题"/>
    <w:basedOn w:val="1"/>
    <w:link w:val="47"/>
    <w:qFormat/>
    <w:uiPriority w:val="0"/>
    <w:pPr>
      <w:jc w:val="center"/>
    </w:pPr>
    <w:rPr>
      <w:rFonts w:cs="Times New Roman"/>
      <w:b/>
      <w:szCs w:val="21"/>
    </w:rPr>
  </w:style>
  <w:style w:type="character" w:customStyle="1" w:styleId="46">
    <w:name w:val="正文段落 字符"/>
    <w:basedOn w:val="29"/>
    <w:link w:val="44"/>
    <w:qFormat/>
    <w:uiPriority w:val="0"/>
    <w:rPr>
      <w:rFonts w:ascii="Times New Roman" w:hAnsi="Times New Roman"/>
      <w:sz w:val="24"/>
    </w:rPr>
  </w:style>
  <w:style w:type="character" w:customStyle="1" w:styleId="47">
    <w:name w:val="表格标题 字符"/>
    <w:link w:val="45"/>
    <w:qFormat/>
    <w:uiPriority w:val="0"/>
    <w:rPr>
      <w:rFonts w:ascii="Times New Roman" w:hAnsi="Times New Roman" w:cs="Times New Roman"/>
      <w:b/>
      <w:szCs w:val="21"/>
    </w:rPr>
  </w:style>
  <w:style w:type="character" w:customStyle="1" w:styleId="48">
    <w:name w:val="批注框文本 字符"/>
    <w:basedOn w:val="29"/>
    <w:link w:val="18"/>
    <w:semiHidden/>
    <w:qFormat/>
    <w:uiPriority w:val="99"/>
    <w:rPr>
      <w:rFonts w:ascii="Times New Roman" w:hAnsi="Times New Roman"/>
      <w:sz w:val="18"/>
      <w:szCs w:val="18"/>
    </w:rPr>
  </w:style>
  <w:style w:type="character" w:customStyle="1" w:styleId="49">
    <w:name w:val="批注文字 字符"/>
    <w:basedOn w:val="29"/>
    <w:link w:val="13"/>
    <w:qFormat/>
    <w:uiPriority w:val="99"/>
    <w:rPr>
      <w:rFonts w:ascii="Times New Roman" w:hAnsi="Times New Roman"/>
    </w:rPr>
  </w:style>
  <w:style w:type="character" w:customStyle="1" w:styleId="50">
    <w:name w:val="批注主题 字符"/>
    <w:basedOn w:val="49"/>
    <w:link w:val="26"/>
    <w:semiHidden/>
    <w:qFormat/>
    <w:uiPriority w:val="99"/>
    <w:rPr>
      <w:rFonts w:ascii="Times New Roman" w:hAnsi="Times New Roman"/>
      <w:b/>
      <w:bCs/>
    </w:rPr>
  </w:style>
  <w:style w:type="paragraph" w:customStyle="1" w:styleId="51">
    <w:name w:val="修订1"/>
    <w:hidden/>
    <w:semiHidden/>
    <w:qFormat/>
    <w:uiPriority w:val="99"/>
    <w:rPr>
      <w:rFonts w:ascii="Times New Roman" w:hAnsi="Times New Roman" w:eastAsia="宋体" w:cstheme="minorBidi"/>
      <w:kern w:val="2"/>
      <w:sz w:val="21"/>
      <w:szCs w:val="22"/>
      <w:lang w:val="en-US" w:eastAsia="zh-CN" w:bidi="ar-SA"/>
    </w:rPr>
  </w:style>
  <w:style w:type="paragraph" w:customStyle="1" w:styleId="52">
    <w:name w:val="示例"/>
    <w:basedOn w:val="44"/>
    <w:link w:val="53"/>
    <w:qFormat/>
    <w:uiPriority w:val="0"/>
    <w:pPr>
      <w:spacing w:before="120" w:after="120"/>
      <w:ind w:firstLine="480"/>
    </w:pPr>
    <w:rPr>
      <w:i/>
      <w:color w:val="0000FF"/>
    </w:rPr>
  </w:style>
  <w:style w:type="character" w:customStyle="1" w:styleId="53">
    <w:name w:val="示例 字符"/>
    <w:basedOn w:val="46"/>
    <w:link w:val="52"/>
    <w:qFormat/>
    <w:uiPriority w:val="0"/>
    <w:rPr>
      <w:rFonts w:ascii="Times New Roman" w:hAnsi="Times New Roman"/>
      <w:i/>
      <w:color w:val="0000FF"/>
      <w:sz w:val="24"/>
    </w:rPr>
  </w:style>
  <w:style w:type="character" w:customStyle="1" w:styleId="54">
    <w:name w:val="正文缩进 字符"/>
    <w:link w:val="12"/>
    <w:qFormat/>
    <w:uiPriority w:val="0"/>
    <w:rPr>
      <w:rFonts w:ascii="Times New Roman" w:hAnsi="Times New Roman" w:cs="Times New Roman"/>
      <w:szCs w:val="24"/>
    </w:rPr>
  </w:style>
  <w:style w:type="character" w:customStyle="1" w:styleId="55">
    <w:name w:val="正文文本 3 字符"/>
    <w:basedOn w:val="29"/>
    <w:link w:val="14"/>
    <w:qFormat/>
    <w:uiPriority w:val="0"/>
    <w:rPr>
      <w:rFonts w:ascii="Times New Roman" w:hAnsi="Times New Roman" w:cs="Times New Roman"/>
      <w:sz w:val="16"/>
      <w:szCs w:val="16"/>
    </w:rPr>
  </w:style>
  <w:style w:type="table" w:customStyle="1" w:styleId="56">
    <w:name w:val="网格型1"/>
    <w:basedOn w:val="2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7">
    <w:name w:val="正文衡泰格式"/>
    <w:basedOn w:val="1"/>
    <w:qFormat/>
    <w:uiPriority w:val="0"/>
    <w:pPr>
      <w:spacing w:line="400" w:lineRule="atLeast"/>
      <w:ind w:firstLine="200" w:firstLineChars="200"/>
    </w:pPr>
    <w:rPr>
      <w:rFonts w:ascii="Book Antiqua" w:hAnsi="Book Antiqua" w:cs="宋体"/>
      <w:szCs w:val="20"/>
    </w:rPr>
  </w:style>
  <w:style w:type="paragraph" w:customStyle="1" w:styleId="58">
    <w:name w:val="修订2"/>
    <w:hidden/>
    <w:unhideWhenUsed/>
    <w:qFormat/>
    <w:uiPriority w:val="99"/>
    <w:rPr>
      <w:rFonts w:ascii="Times New Roman" w:hAnsi="Times New Roman" w:eastAsia="宋体" w:cstheme="minorBidi"/>
      <w:kern w:val="2"/>
      <w:sz w:val="21"/>
      <w:szCs w:val="22"/>
      <w:lang w:val="en-US" w:eastAsia="zh-CN" w:bidi="ar-SA"/>
    </w:rPr>
  </w:style>
  <w:style w:type="paragraph" w:customStyle="1" w:styleId="59">
    <w:name w:val="Revision"/>
    <w:hidden/>
    <w:unhideWhenUsed/>
    <w:qFormat/>
    <w:uiPriority w:val="99"/>
    <w:rPr>
      <w:rFonts w:ascii="Times New Roman" w:hAnsi="Times New Roman" w:eastAsia="宋体" w:cstheme="minorBidi"/>
      <w:kern w:val="2"/>
      <w:sz w:val="21"/>
      <w:szCs w:val="22"/>
      <w:lang w:val="en-US" w:eastAsia="zh-CN" w:bidi="ar-SA"/>
    </w:rPr>
  </w:style>
  <w:style w:type="character" w:customStyle="1" w:styleId="60">
    <w:name w:val="font21"/>
    <w:basedOn w:val="29"/>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CBFT">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DA2E4C9F-C4AC-4338-8003-82B60844FD96}">
  <ds:schemaRefs/>
</ds:datastoreItem>
</file>

<file path=docProps/app.xml><?xml version="1.0" encoding="utf-8"?>
<Properties xmlns="http://schemas.openxmlformats.org/officeDocument/2006/extended-properties" xmlns:vt="http://schemas.openxmlformats.org/officeDocument/2006/docPropsVTypes">
  <Template>Normal</Template>
  <Pages>35</Pages>
  <Words>2320</Words>
  <Characters>2516</Characters>
  <Lines>470</Lines>
  <Paragraphs>132</Paragraphs>
  <TotalTime>9</TotalTime>
  <ScaleCrop>false</ScaleCrop>
  <LinksUpToDate>false</LinksUpToDate>
  <CharactersWithSpaces>2653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2024-11-22T17:18:00Z</dcterms:created>
  <dc:creator>HFBank</dc:creator>
  <cp:lastModifiedBy>桃桃酱</cp:lastModifiedBy>
  <cp:lastPrinted>2023-08-30T15:31:00Z</cp:lastPrinted>
  <dcterms:modified xsi:type="dcterms:W3CDTF">2026-04-03T12:43:42Z</dcterms:modified>
  <dc:title>业务需求说明书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B9461CF67A66483EA2785433983F0C99_13</vt:lpwstr>
  </property>
  <property fmtid="{D5CDD505-2E9C-101B-9397-08002B2CF9AE}" pid="4" name="KSOTemplateDocerSaveRecord">
    <vt:lpwstr>eyJoZGlkIjoiMTEwNjhiNmZmZWI2ODQzMzc5YjM3MTMzYzExNDYyNjMiLCJ1c2VySWQiOiIxNjU0ODIzODUwIn0=</vt:lpwstr>
  </property>
</Properties>
</file>