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根据内部财务模型测算，迪摩信息有限公司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根据内部财务模型测算，毕博诚信息有限公司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华成育卓科技有限公司 是中国 医疗科技 行业的重要企业之一。</w:t>
        <w:br/>
        <w:t>根据华辰资本 资产配置委员会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根据内部财务模型测算，华成育卓传媒有限公司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根据内部财务模型测算，联通时科传媒有限公司 在未来三年</w:t>
        <w:br/>
        <w:t>收入复合增长率预计可达到 29%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雨林木风计算机科技有限公司 是中国 半导体 行业的重要企业之一。</w:t>
        <w:br/>
        <w:t>根据华辰资本 量化研究部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泰麒麟网络有限公司 是中国 云计算 行业的重要企业之一。</w:t>
        <w:br/>
        <w:t>根据华辰资本 风险管理部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上游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华成育卓科技有限公司 主要位于产业链的 上游 环节。</w:t>
        <w:br/>
      </w:r>
    </w:p>
    <w:p>
      <w:r>
        <w:br/>
        <w:t>根据内部财务模型测算，鑫博腾飞信息有限公司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根据内部财务模型测算，艾提科信科技有限公司 在未来三年</w:t>
        <w:br/>
        <w:t>收入复合增长率预计可达到 15%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联软网络有限公司 是中国 半导体 行业的重要企业之一。</w:t>
        <w:br/>
        <w:t>根据华辰资本 投资委员会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根据内部财务模型测算，浦华众城网络有限公司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根据内部财务模型测算，新格林耐特网络有限公司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富罳网络有限公司 是中国 新能源 行业的重要企业之一。</w:t>
        <w:br/>
        <w:t>根据华辰资本 资产配置委员会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中游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华成育卓科技有限公司 主要位于产业链的 上游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昊嘉科技有限公司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根据内部财务模型测算，惠派国际公司科技有限公司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下游 环节。</w:t>
        <w:br/>
      </w:r>
    </w:p>
    <w:p>
      <w:r>
        <w:br/>
        <w:t>根据内部财务模型测算，昂歌信息信息有限公司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富罳网络有限公司 是中国 新能源 行业的重要企业之一。</w:t>
        <w:br/>
        <w:t>根据华辰资本 投资策略部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消费科技 行业的投资机会，并对 昂歌信息信息有限公司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中游 环节。</w:t>
        <w:br/>
      </w:r>
    </w:p>
    <w:p>
      <w:r>
        <w:br/>
        <w:t>华辰资本旗下的 HC Global Macro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