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根据内部财务模型测算，迪摩信息有限公司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方正科技信息有限公司 是中国 消费科技 行业的重要企业之一。</w:t>
        <w:br/>
        <w:t>根据华辰资本 资产配置委员会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根据内部财务模型测算，恩悌网络有限公司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下游 环节。</w:t>
        <w:br/>
      </w:r>
    </w:p>
    <w:p>
      <w:r>
        <w:br/>
        <w:t>华辰资本旗下的 HC AI Innovation Fund 在最近的资产配置会议中</w:t>
        <w:br/>
        <w:t>讨论了 半导体 行业的投资机会，并对 中建创业科技有限公司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根据内部财务模型测算，联软科技有限公司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根据内部财务模型测算，创汇传媒有限公司 在未来三年</w:t>
        <w:br/>
        <w:t>收入复合增长率预计可达到 29%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根据内部财务模型测算，华成育卓传媒有限公司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根据内部财务模型测算，创联世纪信息有限公司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精芯信息有限公司 是中国 半导体 行业的重要企业之一。</w:t>
        <w:br/>
        <w:t>根据华辰资本 量化研究部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中游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根据内部财务模型测算，通际名联网络有限公司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昊嘉科技有限公司 是中国 医疗科技 行业的重要企业之一。</w:t>
        <w:br/>
        <w:t>根据华辰资本 量化研究部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昂歌信息信息有限公司 是中国 消费科技 行业的重要企业之一。</w:t>
        <w:br/>
        <w:t>根据华辰资本 投资策略部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华泰通安网络有限公司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根据内部财务模型测算，图龙信息传媒有限公司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根据内部财务模型测算，佳禾传媒有限公司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下游 环节。</w:t>
        <w:br/>
      </w:r>
    </w:p>
    <w:p>
      <w:r>
        <w:br/>
        <w:t>华辰资本旗下的 HC Global Macro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根据内部财务模型测算，通际名联科技有限公司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中游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Energy Transition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根据内部财务模型测算，方正科技信息有限公司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根据内部财务模型测算，良诺科技有限公司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恩悌网络有限公司 是中国 新能源 行业的重要企业之一。</w:t>
        <w:br/>
        <w:t>根据华辰资本 量化研究部 的研究，该公司成立于 2011 年，</w:t>
        <w:br/>
        <w:t>目前员工规模约 7408 人。公司近年来持续加大研发投入，</w:t>
        <w:br/>
        <w:t>在核心技术方面形成了较强的竞争壁垒。</w:t>
        <w:br/>
      </w:r>
    </w:p>
    <w:p>
      <w:r>
        <w:br/>
        <w:t>根据内部财务模型测算，信诚致远网络有限公司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根据内部财务模型测算，中建创业科技有限公司 在未来三年</w:t>
        <w:br/>
        <w:t>收入复合增长率预计可达到 29%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