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上游 环节。</w:t>
        <w:br/>
      </w:r>
    </w:p>
    <w:p>
      <w:r>
        <w:br/>
        <w:t>华辰资本旗下的 HC Global Macro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根据内部财务模型测算，创汇传媒有限公司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联通时科传媒有限公司 是中国 消费科技 行业的重要企业之一。</w:t>
        <w:br/>
        <w:t>根据华辰资本 风险管理部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根据内部财务模型测算，鑫博腾飞信息有限公司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根据内部财务模型测算，昂歌信息信息有限公司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根据内部财务模型测算，泰麒麟网络有限公司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根据内部财务模型测算，联软网络有限公司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医疗科技 行业的投资机会，并对 迪摩信息有限公司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中建创业科技有限公司 是中国 半导体 行业的重要企业之一。</w:t>
        <w:br/>
        <w:t>根据华辰资本 资产配置委员会 的研究，该公司成立于 2006 年，</w:t>
        <w:br/>
        <w:t>目前员工规模约 6832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下游 环节。</w:t>
        <w:br/>
      </w:r>
    </w:p>
    <w:p>
      <w:r>
        <w:br/>
        <w:t>华辰资本旗下的 HC Global Macro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根据内部财务模型测算，昂歌信息信息有限公司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艾提科信科技有限公司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203亿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Alpha Growth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华成育卓科技有限公司 是中国 医疗科技 行业的重要企业之一。</w:t>
        <w:br/>
        <w:t>根据华辰资本 投资委员会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中游 环节。</w:t>
        <w:br/>
      </w:r>
    </w:p>
    <w:p>
      <w:r>
        <w:br/>
        <w:t>华辰资本旗下的 HC AI Innovation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人工智能 行业的投资机会，并对 惠派国际公司科技有限公司</w:t>
        <w:br/>
        <w:t>进行了重点评估。</w:t>
        <w:br/>
      </w:r>
    </w:p>
    <w:p>
      <w:r>
        <w:br/>
        <w:t>根据内部财务模型测算，富罳网络有限公司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