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富罳网络有限公司 是中国 新能源 行业的重要企业之一。</w:t>
        <w:br/>
        <w:t>根据华辰资本 风险管理部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根据内部财务模型测算，精芯信息有限公司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云计算 行业的重要企业之一。</w:t>
        <w:br/>
        <w:t>根据华辰资本 风险管理部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华成育卓传媒有限公司 是中国 人工智能 行业的重要企业之一。</w:t>
        <w:br/>
        <w:t>根据华辰资本 投资策略部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根据内部财务模型测算，飞利信科技有限公司 在未来三年</w:t>
        <w:br/>
        <w:t>收入复合增长率预计可达到 32%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联软网络有限公司 是中国 半导体 行业的重要企业之一。</w:t>
        <w:br/>
        <w:t>根据华辰资本 资产配置委员会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根据内部财务模型测算，通际名联科技有限公司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雨林木风计算机科技有限公司 是中国 半导体 行业的重要企业之一。</w:t>
        <w:br/>
        <w:t>根据华辰资本 量化研究部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根据内部财务模型测算，艾提科信科技有限公司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佳禾传媒有限公司 是中国 云计算 行业的重要企业之一。</w:t>
        <w:br/>
        <w:t>根据华辰资本 量化研究部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昊嘉科技有限公司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根据内部财务模型测算，华成育卓科技有限公司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根据内部财务模型测算，联软科技有限公司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信诚致远网络有限公司 是中国 半导体 行业的重要企业之一。</w:t>
        <w:br/>
        <w:t>根据华辰资本 投资策略部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下游 环节。</w:t>
        <w:br/>
      </w:r>
    </w:p>
    <w:p>
      <w:r>
        <w:br/>
        <w:t>华辰资本旗下的 HC Global Macro Fund 在最近的资产配置会议中</w:t>
        <w:br/>
        <w:t>讨论了 新能源 行业的投资机会，并对 戴硕电子网络有限公司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云计算 行业的投资机会，并对 佳禾传媒有限公司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根据内部财务模型测算，恩悌网络有限公司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中游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下游 环节。</w:t>
        <w:br/>
      </w:r>
    </w:p>
    <w:p>
      <w:r>
        <w:br/>
        <w:t>根据内部财务模型测算，巨奥传媒有限公司 在未来三年</w:t>
        <w:br/>
        <w:t>收入复合增长率预计可达到 16%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504亿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Alpha Growth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中游 环节。</w:t>
        <w:br/>
      </w:r>
    </w:p>
    <w:p>
      <w:r>
        <w:br/>
        <w:t>根据内部财务模型测算，方正科技传媒有限公司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九方传媒有限公司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根据内部财务模型测算，新格林耐特网络有限公司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良诺科技有限公司 是中国 云计算 行业的重要企业之一。</w:t>
        <w:br/>
        <w:t>根据华辰资本 资产配置委员会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486亿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