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Affinity / Restoration Engine Architecture</w:t>
      </w:r>
    </w:p>
    <w:bookmarkStart w:id="25" w:name="X68048735e016bc60da66e9b9e68977401b25b06"/>
    <w:p>
      <w:pPr>
        <w:pStyle w:val="Heading1"/>
      </w:pPr>
      <w:r>
        <w:t xml:space="preserve">C.E.R. — Affinity / Restoration Engine Architecture</w:t>
      </w:r>
    </w:p>
    <w:p>
      <w:pPr>
        <w:pStyle w:val="FirstParagraph"/>
      </w:pPr>
      <w:r>
        <w:t xml:space="preserve">Status: in progress / draft, not yet implemented or tested. Core architecture, attunement wheel UI, and the resource economy that feeds it.</w:t>
      </w:r>
    </w:p>
    <w:bookmarkStart w:id="20" w:name="Xff3897587dea415f0c07878b48d9e328519f924"/>
    <w:p>
      <w:pPr>
        <w:pStyle w:val="Heading2"/>
      </w:pPr>
      <w:r>
        <w:t xml:space="preserve">Core architecture (fused from two independently-drafted proposals)</w:t>
      </w:r>
    </w:p>
    <w:p>
      <w:pPr>
        <w:numPr>
          <w:ilvl w:val="0"/>
          <w:numId w:val="1001"/>
        </w:numPr>
        <w:pStyle w:val="Compact"/>
      </w:pPr>
      <w:r>
        <w:t xml:space="preserve">KubeJS-based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Affinity Core</w:t>
      </w:r>
      <w:r>
        <w:rPr>
          <w:bCs/>
          <w:b/>
        </w:rPr>
        <w:t xml:space="preserve">”</w:t>
      </w:r>
      <w:r>
        <w:t xml:space="preserve"> </w:t>
      </w:r>
      <w:r>
        <w:t xml:space="preserve">is the single source of truth for both World Affinity and Player Affinity — not FTB Quests, not raw scoreboards.</w:t>
      </w:r>
    </w:p>
    <w:p>
      <w:pPr>
        <w:numPr>
          <w:ilvl w:val="0"/>
          <w:numId w:val="1001"/>
        </w:numPr>
        <w:pStyle w:val="Compact"/>
      </w:pPr>
      <w:r>
        <w:t xml:space="preserve">Persistent data model: 18 numeric values (one per type), tracked separately for World Affinity and for each Player Affinity, stored in persistent NBT.</w:t>
      </w:r>
    </w:p>
    <w:p>
      <w:pPr>
        <w:numPr>
          <w:ilvl w:val="0"/>
          <w:numId w:val="1001"/>
        </w:numPr>
        <w:pStyle w:val="Compact"/>
      </w:pPr>
      <w:r>
        <w:t xml:space="preserve">Dual interface by design: a</w:t>
      </w:r>
      <w:r>
        <w:t xml:space="preserve"> </w:t>
      </w:r>
      <w:r>
        <w:rPr>
          <w:rStyle w:val="VerbatimChar"/>
        </w:rPr>
        <w:t xml:space="preserve">/cer affinity</w:t>
      </w:r>
      <w:r>
        <w:t xml:space="preserve"> </w:t>
      </w:r>
      <w:r>
        <w:t xml:space="preserve">command API handles writes and complex actions (the real API surface); a read-only scoreboard mirror exposes only flat totals, so dumb systems (spawn conditions, quest checks) can passively gate on Affinity without touching the command API.</w:t>
      </w:r>
    </w:p>
    <w:p>
      <w:pPr>
        <w:numPr>
          <w:ilvl w:val="0"/>
          <w:numId w:val="1001"/>
        </w:numPr>
        <w:pStyle w:val="Compact"/>
      </w:pPr>
      <w:r>
        <w:t xml:space="preserve">Internal normalized event bus decouples raw external mod events from Affinity logic — e.g. </w:t>
      </w:r>
      <w:r>
        <w:rPr>
          <w:rStyle w:val="VerbatimChar"/>
        </w:rPr>
        <w:t xml:space="preserve">PLAYER_CAPTURED_POKEMON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PLAYER_PROCESSED_AFFINITY_MATERIAL</w:t>
      </w:r>
      <w:r>
        <w:t xml:space="preserve"> </w:t>
      </w:r>
      <w:r>
        <w:t xml:space="preserve">— so new integrations emit a normalized event rather than each mod hook writing directly to Affinity data.</w:t>
      </w:r>
    </w:p>
    <w:p>
      <w:pPr>
        <w:numPr>
          <w:ilvl w:val="0"/>
          <w:numId w:val="1001"/>
        </w:numPr>
        <w:pStyle w:val="Compact"/>
      </w:pPr>
      <w:r>
        <w:t xml:space="preserve">A cause→resolution→delta pipeline applies the locked Integration Depth Tiers principle (Direct/Indirect/Observational/Social) to decide how much a given event actually moves Affinity.</w:t>
      </w:r>
    </w:p>
    <w:p>
      <w:pPr>
        <w:numPr>
          <w:ilvl w:val="0"/>
          <w:numId w:val="1001"/>
        </w:numPr>
        <w:pStyle w:val="Compact"/>
      </w:pPr>
      <w:r>
        <w:t xml:space="preserve">A capped rolling per-type change-ledger is kept for accountability/debugging, meant to be surfaceable in the Field Guide’s Research tab.</w:t>
      </w:r>
    </w:p>
    <w:p>
      <w:pPr>
        <w:numPr>
          <w:ilvl w:val="0"/>
          <w:numId w:val="1001"/>
        </w:numPr>
        <w:pStyle w:val="Compact"/>
      </w:pPr>
      <w:r>
        <w:t xml:space="preserve">Debug commands (</w:t>
      </w:r>
      <w:r>
        <w:rPr>
          <w:rStyle w:val="VerbatimChar"/>
        </w:rPr>
        <w:t xml:space="preserve">/cer debug affinity ...</w:t>
      </w:r>
      <w:r>
        <w:t xml:space="preserve">) planned for threshold tuning during development.</w:t>
      </w:r>
    </w:p>
    <w:p>
      <w:pPr>
        <w:numPr>
          <w:ilvl w:val="0"/>
          <w:numId w:val="1001"/>
        </w:numPr>
        <w:pStyle w:val="Compact"/>
      </w:pPr>
      <w:r>
        <w:t xml:space="preserve">A physical in-world</w:t>
      </w:r>
      <w:r>
        <w:t xml:space="preserve"> </w:t>
      </w:r>
      <w:r>
        <w:rPr>
          <w:bCs/>
          <w:b/>
        </w:rPr>
        <w:t xml:space="preserve">Resonance Anchor</w:t>
      </w:r>
      <w:r>
        <w:t xml:space="preserve"> </w:t>
      </w:r>
      <w:r>
        <w:t xml:space="preserve">object is the lore-and-technical seat of World Affinity.</w:t>
      </w:r>
    </w:p>
    <w:p>
      <w:pPr>
        <w:numPr>
          <w:ilvl w:val="0"/>
          <w:numId w:val="1001"/>
        </w:numPr>
        <w:pStyle w:val="Compact"/>
      </w:pPr>
      <w:r>
        <w:t xml:space="preserve">This system is intended as the template for the broader future</w:t>
      </w:r>
      <w:r>
        <w:t xml:space="preserve"> </w:t>
      </w:r>
      <w:r>
        <w:rPr>
          <w:bCs/>
          <w:b/>
        </w:rPr>
        <w:t xml:space="preserve">Restoration Engine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CER.*</w:t>
      </w:r>
      <w:r>
        <w:t xml:space="preserve">/</w:t>
      </w:r>
      <w:r>
        <w:rPr>
          <w:rStyle w:val="VerbatimChar"/>
        </w:rPr>
        <w:t xml:space="preserve">cer:</w:t>
      </w:r>
      <w:r>
        <w:t xml:space="preserve"> </w:t>
      </w:r>
      <w:r>
        <w:t xml:space="preserve">namespace covering Affinity, Resonance, Research, Virtues, and Legendary systems as siblings), not a one-off built for Affinity alone.</w:t>
      </w:r>
    </w:p>
    <w:bookmarkEnd w:id="20"/>
    <w:bookmarkStart w:id="21" w:name="player-affinity-accrual-model"/>
    <w:p>
      <w:pPr>
        <w:pStyle w:val="Heading2"/>
      </w:pPr>
      <w:r>
        <w:t xml:space="preserve">Player Affinity accrual model</w:t>
      </w:r>
    </w:p>
    <w:p>
      <w:pPr>
        <w:numPr>
          <w:ilvl w:val="0"/>
          <w:numId w:val="1002"/>
        </w:numPr>
        <w:pStyle w:val="Compact"/>
      </w:pPr>
      <w:r>
        <w:t xml:space="preserve">Player Affinity is dynamically determined by player behavior/exposure rather than a fixed class or one-time choice — heavy exposure to water-affinity materials/actions raises Water, heavy fire-related activity raises Fire, etc. Ties into the locked</w:t>
      </w:r>
      <w:r>
        <w:t xml:space="preserve"> </w:t>
      </w:r>
      <w:r>
        <w:t xml:space="preserve">“</w:t>
      </w:r>
      <w:r>
        <w:t xml:space="preserve">player identity emerges through behavior, not classes</w:t>
      </w:r>
      <w:r>
        <w:t xml:space="preserve">”</w:t>
      </w:r>
      <w:r>
        <w:t xml:space="preserve"> </w:t>
      </w:r>
      <w:r>
        <w:t xml:space="preserve">philosophy.</w:t>
      </w:r>
    </w:p>
    <w:p>
      <w:pPr>
        <w:numPr>
          <w:ilvl w:val="0"/>
          <w:numId w:val="1002"/>
        </w:numPr>
        <w:pStyle w:val="Compact"/>
      </w:pPr>
      <w:r>
        <w:t xml:space="preserve">Extends the existing diminishing-returns anti-exploit rule (originally scoped to Cobblemon-native actions) to also cover processing/crafting/using Affinity-typed materials, so grinding one action repeatedly can’t trivially max a type.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Affinity Matter</w:t>
      </w:r>
      <w:r>
        <w:t xml:space="preserve"> </w:t>
      </w:r>
      <w:r>
        <w:t xml:space="preserve">(see Resource Economy below) fused with blank TMs/TRs via SimpleTMs at the Research/Synthesis Altar is one proposed spend for accumulated Affinity. Wesley flagged</w:t>
      </w:r>
      <w:r>
        <w:t xml:space="preserve"> </w:t>
      </w:r>
      <w:r>
        <w:t xml:space="preserve">“</w:t>
      </w:r>
      <w:r>
        <w:t xml:space="preserve">Affinity Matter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replication adaptation</w:t>
      </w:r>
      <w:r>
        <w:t xml:space="preserve">”</w:t>
      </w:r>
      <w:r>
        <w:t xml:space="preserve"> </w:t>
      </w:r>
      <w:r>
        <w:t xml:space="preserve">as terms that may reference an established system elsewhere in his archive not visible in this session —</w:t>
      </w:r>
      <w:r>
        <w:t xml:space="preserve"> </w:t>
      </w:r>
      <w:r>
        <w:rPr>
          <w:bCs/>
          <w:b/>
        </w:rPr>
        <w:t xml:space="preserve">not yet clarified</w:t>
      </w:r>
      <w:r>
        <w:t xml:space="preserve">.</w:t>
      </w:r>
    </w:p>
    <w:bookmarkEnd w:id="21"/>
    <w:bookmarkStart w:id="22" w:name="Xa7e2358b4379d83fc45e16c4724930066dfbd0e"/>
    <w:p>
      <w:pPr>
        <w:pStyle w:val="Heading2"/>
      </w:pPr>
      <w:r>
        <w:t xml:space="preserve">Attunement wheel — active-Affinity selector UI</w:t>
      </w:r>
    </w:p>
    <w:p>
      <w:pPr>
        <w:numPr>
          <w:ilvl w:val="0"/>
          <w:numId w:val="1003"/>
        </w:numPr>
        <w:pStyle w:val="Compact"/>
      </w:pPr>
      <w:r>
        <w:t xml:space="preserve">Proposed UI: a radial/wheel GUI (same paradigm as the planned Pokémon party-selection wheel) where the player picks 6 of the 18 types as their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Affinities.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Muted, not paused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all 18 totals keep accruing passively regardless of selection; only the 6 active slots apply gameplay effects.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Type-conflict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opposition wheel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certain type pairs can’t both be active at once (examples: Dragon/Fairy, Water/Fire, Electric/Ground) — an invented, self-consistent opposition mapping, not strictly derived from Pokémon’s real (asymmetric) type chart. Exact pairs still to be finalized.</w:t>
      </w:r>
    </w:p>
    <w:p>
      <w:pPr>
        <w:numPr>
          <w:ilvl w:val="0"/>
          <w:numId w:val="1003"/>
        </w:numPr>
        <w:pStyle w:val="Compact"/>
      </w:pPr>
      <w:r>
        <w:t xml:space="preserve">Validation is server-authoritative: KubeJS checks the loadout on submit; client-side greying-out is UX only.</w:t>
      </w:r>
    </w:p>
    <w:p>
      <w:pPr>
        <w:numPr>
          <w:ilvl w:val="0"/>
          <w:numId w:val="1003"/>
        </w:numPr>
        <w:pStyle w:val="Compact"/>
      </w:pPr>
      <w:r>
        <w:t xml:space="preserve">EasyGui flagged as a dev-facing GUI library that may or may not expose enough client-screen API via the pinned KubeJS build (2101.7.2) to build this without a real custom Java mod — needs verification, not yet checked.</w:t>
      </w:r>
    </w:p>
    <w:bookmarkEnd w:id="22"/>
    <w:bookmarkStart w:id="23" w:name="Xa79bc319db9c81a70515432152bb07a45a9c22a"/>
    <w:p>
      <w:pPr>
        <w:pStyle w:val="Heading2"/>
      </w:pPr>
      <w:r>
        <w:t xml:space="preserve">Attunement wheel —</w:t>
      </w:r>
      <w:r>
        <w:t xml:space="preserve"> </w:t>
      </w:r>
      <w:r>
        <w:t xml:space="preserve">“</w:t>
      </w:r>
      <w:r>
        <w:t xml:space="preserve">natural six</w:t>
      </w:r>
      <w:r>
        <w:t xml:space="preserve">”</w:t>
      </w:r>
      <w:r>
        <w:t xml:space="preserve"> </w:t>
      </w:r>
      <w:r>
        <w:t xml:space="preserve">auto-suggestion and lock system</w:t>
      </w:r>
    </w:p>
    <w:p>
      <w:pPr>
        <w:pStyle w:val="FirstParagraph"/>
      </w:pPr>
      <w:r>
        <w:t xml:space="preserve">Addresses a</w:t>
      </w:r>
      <w:r>
        <w:t xml:space="preserve"> </w:t>
      </w:r>
      <w:r>
        <w:t xml:space="preserve">“</w:t>
      </w:r>
      <w:r>
        <w:t xml:space="preserve">silent reshuffle</w:t>
      </w:r>
      <w:r>
        <w:t xml:space="preserve">”</w:t>
      </w:r>
      <w:r>
        <w:t xml:space="preserve"> </w:t>
      </w:r>
      <w:r>
        <w:t xml:space="preserve">concern: if active Affinity is fully behavior-driven, a player could open the wheel and find all 6 slots silently changed with no warning.</w:t>
      </w:r>
    </w:p>
    <w:p>
      <w:pPr>
        <w:numPr>
          <w:ilvl w:val="0"/>
          <w:numId w:val="1004"/>
        </w:numPr>
        <w:pStyle w:val="Compact"/>
      </w:pPr>
      <w:r>
        <w:t xml:space="preserve">The Core computes a dynamically-ranked eligible top-6 (</w:t>
      </w:r>
      <w:r>
        <w:t xml:space="preserve">“</w:t>
      </w:r>
      <w:r>
        <w:t xml:space="preserve">natural six</w:t>
      </w:r>
      <w:r>
        <w:t xml:space="preserve">”</w:t>
      </w:r>
      <w:r>
        <w:t xml:space="preserve">) only at a checkpoint — when the player actually opens the wheel — never live/automatically in the background.</w:t>
      </w:r>
    </w:p>
    <w:p>
      <w:pPr>
        <w:numPr>
          <w:ilvl w:val="0"/>
          <w:numId w:val="1004"/>
        </w:numPr>
        <w:pStyle w:val="Compact"/>
      </w:pPr>
      <w:r>
        <w:t xml:space="preserve">Even then, the natural six is an accept/reject proposal, not auto-applied.</w:t>
      </w:r>
    </w:p>
    <w:p>
      <w:pPr>
        <w:numPr>
          <w:ilvl w:val="0"/>
          <w:numId w:val="1004"/>
        </w:numPr>
        <w:pStyle w:val="Compact"/>
      </w:pPr>
      <w:r>
        <w:t xml:space="preserve">Selection algorithm: rank all 18 types descending by accrued value, walk down picking types for the 6 slots, skip any type conflicting with an already-picked/locked type, reserve locked slots first.</w:t>
      </w:r>
    </w:p>
    <w:p>
      <w:pPr>
        <w:numPr>
          <w:ilvl w:val="0"/>
          <w:numId w:val="1004"/>
        </w:numPr>
        <w:pStyle w:val="Compact"/>
      </w:pPr>
      <w:r>
        <w:t xml:space="preserve">Three lock granularities: per-slot lock, full loadout lock, and timed lock (expires after a set duration).</w:t>
      </w:r>
    </w:p>
    <w:p>
      <w:pPr>
        <w:numPr>
          <w:ilvl w:val="0"/>
          <w:numId w:val="1004"/>
        </w:numPr>
        <w:pStyle w:val="Compact"/>
      </w:pPr>
      <w:r>
        <w:t xml:space="preserve">Fresh-player edge case: no accrued data to rank, so a mandatory manual first pick is required before auto-suggestion logic begins for that player.</w:t>
      </w:r>
    </w:p>
    <w:bookmarkEnd w:id="23"/>
    <w:bookmarkStart w:id="24" w:name="resource-economy-feeds-affinity-core"/>
    <w:p>
      <w:pPr>
        <w:pStyle w:val="Heading2"/>
      </w:pPr>
      <w:r>
        <w:t xml:space="preserve">Resource economy (feeds Affinity Core)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Resin economy:</w:t>
      </w:r>
      <w:r>
        <w:t xml:space="preserve"> </w:t>
      </w:r>
      <w:r>
        <w:t xml:space="preserve">Resin/Resin Clumps as an intermediate raw→processed resource pair (raw Resin Clump → processed Resin → crafting/generation), giving Pale Garden exploration (Vanilla Backport’s Garden Awakens set) an economic purpose beyond decoration.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Affinity Metal recipe:</w:t>
      </w:r>
      <w:r>
        <w:t xml:space="preserve"> </w:t>
      </w:r>
      <w:r>
        <w:t xml:space="preserve">Affinity resource (shard/gem, exact form TBD) + Iron/Gold Ingot → type-specific Affinity Metal (e.g. Fire Shard + Iron → Fire Affinity Metal; Electric Shard + Iron → Electric Affinity Metal; Water Shard + Iron → Water Affinity Metal). Makes Affinity part of the tangible resource economy, not a purely abstract Pokémon-side mechanic.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Biome-tag distribution — decoupling decision:</w:t>
      </w:r>
      <w:r>
        <w:t xml:space="preserve"> </w:t>
      </w:r>
      <w:r>
        <w:rPr>
          <w:rStyle w:val="VerbatimChar"/>
        </w:rPr>
        <w:t xml:space="preserve">Temperate</w:t>
      </w:r>
      <w:r>
        <w:t xml:space="preserve">/</w:t>
      </w:r>
      <w:r>
        <w:rPr>
          <w:rStyle w:val="VerbatimChar"/>
        </w:rPr>
        <w:t xml:space="preserve">Cold</w:t>
      </w:r>
      <w:r>
        <w:t xml:space="preserve">/</w:t>
      </w:r>
      <w:r>
        <w:rPr>
          <w:rStyle w:val="VerbatimChar"/>
        </w:rPr>
        <w:t xml:space="preserve">Warm</w:t>
      </w:r>
      <w:r>
        <w:t xml:space="preserve"> </w:t>
      </w:r>
      <w:r>
        <w:t xml:space="preserve">are Vanilla Backport’s biome-tag categories (used by its farm-animal-variant system),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bespoke affinity taxonomy the mod invented. Proposal: build Affinity’s own biome-distribution weighting on</w:t>
      </w:r>
      <w:r>
        <w:t xml:space="preserve"> </w:t>
      </w:r>
      <w:r>
        <w:rPr>
          <w:bCs/>
          <w:b/>
        </w:rPr>
        <w:t xml:space="preserve">true vanilla/common biome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#minecraft:is_forest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#c:is_cold</w:t>
      </w:r>
      <w:r>
        <w:t xml:space="preserve">, temperature-based climate data, etc.) rather than depending on Vanilla Backport’s specific tag namespace — if VB is ever dropped or split (see MMI), the entire resource-distribution system shouldn’t become a balancing hazard. Layer</w:t>
      </w:r>
      <w:r>
        <w:t xml:space="preserve"> </w:t>
      </w:r>
      <w:r>
        <w:rPr>
          <w:rStyle w:val="VerbatimChar"/>
        </w:rPr>
        <w:t xml:space="preserve">cer:</w:t>
      </w:r>
      <w:r>
        <w:t xml:space="preserve">-specific affinity-weight tags on top of vanilla/common tags instead.</w:t>
      </w:r>
      <w:r>
        <w:t xml:space="preserve"> </w:t>
      </w:r>
      <w:r>
        <w:rPr>
          <w:bCs/>
          <w:b/>
        </w:rPr>
        <w:t xml:space="preserve">Open verification item:</w:t>
      </w:r>
      <w:r>
        <w:t xml:space="preserve"> </w:t>
      </w:r>
      <w:r>
        <w:t xml:space="preserve">whether VB’s Temperate/Cold/Warm tags are exposed as ordinary Minecraft tags or are VB’s own compatibility-layer tags — tracked in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Affinity / Restoration Engine Architecture</dc:title>
  <dc:creator/>
  <cp:keywords/>
  <dcterms:created xsi:type="dcterms:W3CDTF">2026-09-18T22:14:49Z</dcterms:created>
  <dcterms:modified xsi:type="dcterms:W3CDTF">2026-09-18T22:14:49Z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