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 ��� Unanswered Questions</w:t>
      </w:r>
    </w:p>
    <w:bookmarkStart w:id="25" w:name="c.e.r.-unanswered-questions"/>
    <w:p>
      <w:pPr>
        <w:pStyle w:val="Heading1"/>
      </w:pPr>
      <w:r>
        <w:t xml:space="preserve">C.E.R. — Unanswered Questions</w:t>
      </w:r>
    </w:p>
    <w:p>
      <w:pPr>
        <w:pStyle w:val="FirstParagraph"/>
      </w:pPr>
      <w:r>
        <w:t xml:space="preserve">Companion to</w:t>
      </w:r>
      <w:r>
        <w:t xml:space="preserve"> </w:t>
      </w:r>
      <w:r>
        <w:rPr>
          <w:rStyle w:val="VerbatimChar"/>
        </w:rPr>
        <w:t xml:space="preserve">claude/CER_ChatGPT_Import_Integration.md</w:t>
      </w:r>
      <w:r>
        <w:t xml:space="preserve"> </w:t>
      </w:r>
      <w:r>
        <w:t xml:space="preserve">(historical reasoning) and the current design docs (</w:t>
      </w:r>
      <w:r>
        <w:rPr>
          <w:rStyle w:val="VerbatimChar"/>
        </w:rPr>
        <w:t xml:space="preserve">overview.md</w:t>
      </w:r>
      <w:r>
        <w:t xml:space="preserve">,</w:t>
      </w:r>
      <w:r>
        <w:t xml:space="preserve"> </w:t>
      </w:r>
      <w:r>
        <w:rPr>
          <w:rStyle w:val="VerbatimChar"/>
        </w:rPr>
        <w:t xml:space="preserve">governance-and-workflow.md</w:t>
      </w:r>
      <w:r>
        <w:t xml:space="preserve">,</w:t>
      </w:r>
      <w:r>
        <w:t xml:space="preserve"> </w:t>
      </w:r>
      <w:r>
        <w:rPr>
          <w:rStyle w:val="VerbatimChar"/>
        </w:rPr>
        <w:t xml:space="preserve">affinity-architecture.md</w:t>
      </w:r>
      <w:r>
        <w:t xml:space="preserve">,</w:t>
      </w:r>
      <w:r>
        <w:t xml:space="preserve"> </w:t>
      </w:r>
      <w:r>
        <w:rPr>
          <w:rStyle w:val="VerbatimChar"/>
        </w:rPr>
        <w:t xml:space="preserve">research-system.md</w:t>
      </w:r>
      <w:r>
        <w:t xml:space="preserve">,</w:t>
      </w:r>
      <w:r>
        <w:t xml:space="preserve"> </w:t>
      </w:r>
      <w:r>
        <w:rPr>
          <w:rStyle w:val="VerbatimChar"/>
        </w:rPr>
        <w:t xml:space="preserve">world-architecture.md</w:t>
      </w:r>
      <w:r>
        <w:t xml:space="preserve">,</w:t>
      </w:r>
      <w:r>
        <w:t xml:space="preserve"> </w:t>
      </w:r>
      <w:r>
        <w:rPr>
          <w:rStyle w:val="VerbatimChar"/>
        </w:rPr>
        <w:t xml:space="preserve">CER_Supplementary_Mod_Research.md</w:t>
      </w:r>
      <w:r>
        <w:t xml:space="preserve">,</w:t>
      </w:r>
      <w:r>
        <w:t xml:space="preserve"> </w:t>
      </w:r>
      <w:r>
        <w:rPr>
          <w:rStyle w:val="VerbatimChar"/>
        </w:rPr>
        <w:t xml:space="preserve">CER_Master_Mod_Index.md</w:t>
      </w:r>
      <w:r>
        <w:t xml:space="preserve">). Everything below is a real open item — a question never answered, a decision explicitly deferred, or a gap surfaced during the 2026-09-18 Total Cleanse. Nothing here has been decided on Wesley’s behalf.</w:t>
      </w:r>
    </w:p>
    <w:p>
      <w:r>
        <w:pict>
          <v:rect style="width:0;height:1.5pt" o:hralign="center" o:hrstd="t" o:hr="t"/>
        </w:pict>
      </w:r>
    </w:p>
    <w:bookmarkStart w:id="20" w:name="design-decisions-waiting-on-you"/>
    <w:p>
      <w:pPr>
        <w:pStyle w:val="Heading2"/>
      </w:pPr>
      <w:r>
        <w:t xml:space="preserve">Design decisions waiting on you</w:t>
      </w:r>
    </w:p>
    <w:p>
      <w:pPr>
        <w:numPr>
          <w:ilvl w:val="0"/>
          <w:numId w:val="1001"/>
        </w:numPr>
      </w:pPr>
      <w:r>
        <w:rPr>
          <w:bCs/>
          <w:b/>
        </w:rPr>
        <w:t xml:space="preserve">Akashic Tome vs. Eccentric Tome.</w:t>
      </w:r>
      <w:r>
        <w:t xml:space="preserve"> </w:t>
      </w:r>
      <w:r>
        <w:t xml:space="preserve">Both are currently installed; explicitly flagged as</w:t>
      </w:r>
      <w:r>
        <w:t xml:space="preserve"> </w:t>
      </w:r>
      <w:r>
        <w:t xml:space="preserve">“</w:t>
      </w:r>
      <w:r>
        <w:t xml:space="preserve">don’t run both.</w:t>
      </w:r>
      <w:r>
        <w:t xml:space="preserve">”</w:t>
      </w:r>
      <w:r>
        <w:t xml:space="preserve"> </w:t>
      </w:r>
      <w:r>
        <w:t xml:space="preserve">Which role do you want a</w:t>
      </w:r>
      <w:r>
        <w:t xml:space="preserve"> </w:t>
      </w:r>
      <w:r>
        <w:t xml:space="preserve">“</w:t>
      </w:r>
      <w:r>
        <w:t xml:space="preserve">library/compendium</w:t>
      </w:r>
      <w:r>
        <w:t xml:space="preserve">”</w:t>
      </w:r>
      <w:r>
        <w:t xml:space="preserve"> </w:t>
      </w:r>
      <w:r>
        <w:t xml:space="preserve">item to fill — lore object, mechanical object, or cut one now?</w:t>
      </w:r>
      <w:r>
        <w:t xml:space="preserve"> </w:t>
      </w:r>
      <w:r>
        <w:rPr>
          <w:iCs/>
          <w:i/>
        </w:rPr>
        <w:t xml:space="preserve">(MMI)</w:t>
      </w:r>
    </w:p>
    <w:p>
      <w:pPr>
        <w:numPr>
          <w:ilvl w:val="0"/>
          <w:numId w:val="1001"/>
        </w:numPr>
      </w:pPr>
      <w:r>
        <w:rPr>
          <w:bCs/>
          <w:b/>
        </w:rPr>
        <w:t xml:space="preserve">Fusion’s place on the Field Guide’s Variants page.</w:t>
      </w:r>
      <w:r>
        <w:t xml:space="preserve"> </w:t>
      </w:r>
      <w:r>
        <w:t xml:space="preserve">The mockup shows Normal / Shiny / Shadow / Fractured tabs but no Fusion tab. Is Fusion a fifth variant tab, or does a Fusion result belong in its own Species Index entry (arguably a distinct creature rather than a variant of one parent)?</w:t>
      </w:r>
      <w:r>
        <w:t xml:space="preserve"> </w:t>
      </w:r>
      <w:r>
        <w:rPr>
          <w:iCs/>
          <w:i/>
        </w:rPr>
        <w:t xml:space="preserve">(research-system.md)</w:t>
      </w:r>
    </w:p>
    <w:p>
      <w:pPr>
        <w:numPr>
          <w:ilvl w:val="0"/>
          <w:numId w:val="1001"/>
        </w:numPr>
      </w:pPr>
      <w:r>
        <w:rPr>
          <w:bCs/>
          <w:b/>
        </w:rPr>
        <w:t xml:space="preserve">Final base Overworld worldgen mod/stack.</w:t>
      </w:r>
      <w:r>
        <w:t xml:space="preserve"> </w:t>
      </w:r>
      <w:r>
        <w:t xml:space="preserve">Terralith rejected; Tectonic left at</w:t>
      </w:r>
      <w:r>
        <w:t xml:space="preserve"> </w:t>
      </w:r>
      <w:r>
        <w:t xml:space="preserve">“</w:t>
      </w:r>
      <w:r>
        <w:t xml:space="preserve">maybe, only if it fits the final stack.</w:t>
      </w:r>
      <w:r>
        <w:t xml:space="preserve">”</w:t>
      </w:r>
      <w:r>
        <w:t xml:space="preserve"> </w:t>
      </w:r>
      <w:r>
        <w:t xml:space="preserve">Nothing is locked in. This blocks finishing both the Aero Islands sky-layer and the Lost Biomes ground-layer designs, which need to know what they’re layering on top of.</w:t>
      </w:r>
      <w:r>
        <w:t xml:space="preserve"> </w:t>
      </w:r>
      <w:r>
        <w:rPr>
          <w:iCs/>
          <w:i/>
        </w:rPr>
        <w:t xml:space="preserve">(world-architecture.md)</w:t>
      </w:r>
    </w:p>
    <w:p>
      <w:pPr>
        <w:numPr>
          <w:ilvl w:val="0"/>
          <w:numId w:val="1001"/>
        </w:numPr>
      </w:pPr>
      <w:r>
        <w:rPr>
          <w:bCs/>
          <w:b/>
        </w:rPr>
        <w:t xml:space="preserve">ProgressiveStages vs. AStages.</w:t>
      </w:r>
      <w:r>
        <w:t xml:space="preserve"> </w:t>
      </w:r>
      <w:r>
        <w:t xml:space="preserve">Deferred to</w:t>
      </w:r>
      <w:r>
        <w:t xml:space="preserve"> </w:t>
      </w:r>
      <w:r>
        <w:t xml:space="preserve">“</w:t>
      </w:r>
      <w:r>
        <w:t xml:space="preserve">build a test branch and see which wins</w:t>
      </w:r>
      <w:r>
        <w:t xml:space="preserve">”</w:t>
      </w:r>
      <w:r>
        <w:t xml:space="preserve"> </w:t>
      </w:r>
      <w:r>
        <w:t xml:space="preserve">— never resolved. Gates whether ProgressiveStages can actually be adopted as the single progression source of truth.</w:t>
      </w:r>
      <w:r>
        <w:t xml:space="preserve"> </w:t>
      </w:r>
      <w:r>
        <w:rPr>
          <w:iCs/>
          <w:i/>
        </w:rPr>
        <w:t xml:space="preserve">(governance-and-workflow.md, world-architecture.md)</w:t>
      </w:r>
    </w:p>
    <w:p>
      <w:pPr>
        <w:numPr>
          <w:ilvl w:val="0"/>
          <w:numId w:val="1001"/>
        </w:numPr>
      </w:pPr>
      <w:r>
        <w:rPr>
          <w:bCs/>
          <w:b/>
        </w:rPr>
        <w:t xml:space="preserve">Do you want Route Mode built at all</w:t>
      </w:r>
      <w:r>
        <w:t xml:space="preserve">, on the terms researched (Cobblemon Routes for geography + a custom opt-in</w:t>
      </w:r>
      <w:r>
        <w:t xml:space="preserve"> </w:t>
      </w:r>
      <w:r>
        <w:rPr>
          <w:rStyle w:val="VerbatimChar"/>
        </w:rPr>
        <w:t xml:space="preserve">/routemode</w:t>
      </w:r>
      <w:r>
        <w:t xml:space="preserve"> </w:t>
      </w:r>
      <w:r>
        <w:t xml:space="preserve">toggle riding on ProgressiveStages + RCT key-trainer triggers)? Confirmed via research: no pre-made mod does sequential route-gating, so this is a</w:t>
      </w:r>
      <w:r>
        <w:t xml:space="preserve"> </w:t>
      </w:r>
      <w:r>
        <w:t xml:space="preserve">“</w:t>
      </w:r>
      <w:r>
        <w:t xml:space="preserve">build it or shelve it</w:t>
      </w:r>
      <w:r>
        <w:t xml:space="preserve">”</w:t>
      </w:r>
      <w:r>
        <w:t xml:space="preserve"> </w:t>
      </w:r>
      <w:r>
        <w:t xml:space="preserve">decision, not a</w:t>
      </w:r>
      <w:r>
        <w:t xml:space="preserve"> </w:t>
      </w:r>
      <w:r>
        <w:t xml:space="preserve">“</w:t>
      </w:r>
      <w:r>
        <w:t xml:space="preserve">which mod</w:t>
      </w:r>
      <w:r>
        <w:t xml:space="preserve">”</w:t>
      </w:r>
      <w:r>
        <w:t xml:space="preserve"> </w:t>
      </w:r>
      <w:r>
        <w:t xml:space="preserve">decision. Note: this idea was also independently re-raised by Wesley outside the original ChatGPT transcript (as</w:t>
      </w:r>
      <w:r>
        <w:t xml:space="preserve"> </w:t>
      </w:r>
      <w:r>
        <w:t xml:space="preserve">“</w:t>
      </w:r>
      <w:r>
        <w:t xml:space="preserve">use Cobblemon Routes for an optional Nuzlocke-style route-to-route mode, mirroring the existing Nuzlocke mode, alongside normal free-roam</w:t>
      </w:r>
      <w:r>
        <w:t xml:space="preserve">”</w:t>
      </w:r>
      <w:r>
        <w:t xml:space="preserve">) — same idea, same open decision; not yet actioned either time.</w:t>
      </w:r>
      <w:r>
        <w:t xml:space="preserve"> </w:t>
      </w:r>
      <w:r>
        <w:rPr>
          <w:iCs/>
          <w:i/>
        </w:rPr>
        <w:t xml:space="preserve">(CER_Supplementary_Mod_Research.md, governance-and-workflow.md)</w:t>
      </w:r>
    </w:p>
    <w:p>
      <w:r>
        <w:pict>
          <v:rect style="width:0;height:1.5pt" o:hralign="center" o:hrstd="t" o:hr="t"/>
        </w:pict>
      </w:r>
    </w:p>
    <w:bookmarkEnd w:id="20"/>
    <w:bookmarkStart w:id="21" w:name="X4d324cf07794184571a0ae3ea0600a7d56229db"/>
    <w:p>
      <w:pPr>
        <w:pStyle w:val="Heading2"/>
      </w:pPr>
      <w:r>
        <w:t xml:space="preserve">Technical verification needed (apply the Bridge-Eligible Mod Principle before deciding)</w:t>
      </w:r>
    </w:p>
    <w:p>
      <w:pPr>
        <w:numPr>
          <w:ilvl w:val="0"/>
          <w:numId w:val="1002"/>
        </w:numPr>
      </w:pPr>
      <w:r>
        <w:rPr>
          <w:bCs/>
          <w:b/>
        </w:rPr>
        <w:t xml:space="preserve">Does Pokébelt have a native NeoForge port</w:t>
      </w:r>
      <w:r>
        <w:t xml:space="preserve">, a Connector/Forgified-Fabric-API path, or should it be dropped for the reskinned-Bundle alternative? Only a Fabric build was ever confirmed.</w:t>
      </w:r>
    </w:p>
    <w:p>
      <w:pPr>
        <w:numPr>
          <w:ilvl w:val="0"/>
          <w:numId w:val="1002"/>
        </w:numPr>
      </w:pPr>
      <w:r>
        <w:rPr>
          <w:bCs/>
          <w:b/>
        </w:rPr>
        <w:t xml:space="preserve">Does Vanilla Storage Interface have a NeoForge build</w:t>
      </w:r>
      <w:r>
        <w:t xml:space="preserve">, or is it still Fabric-only? Never re-verified.</w:t>
      </w:r>
    </w:p>
    <w:p>
      <w:pPr>
        <w:numPr>
          <w:ilvl w:val="0"/>
          <w:numId w:val="1002"/>
        </w:numPr>
      </w:pPr>
      <w:r>
        <w:rPr>
          <w:bCs/>
          <w:b/>
        </w:rPr>
        <w:t xml:space="preserve">Can Cobblemon Snap’s aspect-tracking system recognize custom aspects (Shadow, Fractured, Fusion)</w:t>
      </w:r>
      <w:r>
        <w:t xml:space="preserve">, or is its shiny-tracking hardcoded to Cobblemon’s one built-in flag? Needs someone to check Snap’s source/API or ask its author. The Variants page design assumes this works — worth resolving before more Field Guide UI work.</w:t>
      </w:r>
    </w:p>
    <w:p>
      <w:pPr>
        <w:numPr>
          <w:ilvl w:val="0"/>
          <w:numId w:val="1002"/>
        </w:numPr>
      </w:pPr>
      <w:r>
        <w:rPr>
          <w:bCs/>
          <w:b/>
        </w:rPr>
        <w:t xml:space="preserve">Does Cobblemon Snap’s task system support custom tabs/categories</w:t>
      </w:r>
      <w:r>
        <w:t xml:space="preserve">, or only custom task content within its existing fixed page structure? Not documented either way; the workaround (treat the Species entry page itself as the category) was adopted without confirming a real tabbed alternative exists.</w:t>
      </w:r>
    </w:p>
    <w:p>
      <w:pPr>
        <w:numPr>
          <w:ilvl w:val="0"/>
          <w:numId w:val="1002"/>
        </w:numPr>
      </w:pPr>
      <w:r>
        <w:rPr>
          <w:bCs/>
          <w:b/>
        </w:rPr>
        <w:t xml:space="preserve">Is Exposure’s photograph/entity data actually readable by KubeJS, FTB Quests, or Cobblemon triggers?</w:t>
      </w:r>
      <w:r>
        <w:t xml:space="preserve"> </w:t>
      </w:r>
      <w:r>
        <w:t xml:space="preserve">Flagged as</w:t>
      </w:r>
      <w:r>
        <w:t xml:space="preserve"> </w:t>
      </w:r>
      <w:r>
        <w:t xml:space="preserve">“</w:t>
      </w:r>
      <w:r>
        <w:t xml:space="preserve">the big question</w:t>
      </w:r>
      <w:r>
        <w:t xml:space="preserve">”</w:t>
      </w:r>
      <w:r>
        <w:t xml:space="preserve"> </w:t>
      </w:r>
      <w:r>
        <w:t xml:space="preserve">before committing Exposure to any research role — never verified. Matters less now that Snap owns research mechanics, but still matters for any Exposure-photo-triggers-something-else idea.</w:t>
      </w:r>
    </w:p>
    <w:p>
      <w:pPr>
        <w:numPr>
          <w:ilvl w:val="0"/>
          <w:numId w:val="1002"/>
        </w:numPr>
      </w:pPr>
      <w:r>
        <w:rPr>
          <w:bCs/>
          <w:b/>
        </w:rPr>
        <w:t xml:space="preserve">Snap’s trigger-type coverage</w:t>
      </w:r>
      <w:r>
        <w:t xml:space="preserve"> </w:t>
      </w:r>
      <w:r>
        <w:t xml:space="preserve">— has anyone mapped Snap’s full set of trigger types (biome-specific photo, time-of-day, weather, cross-species pairs, specific-move-in-use, alpha/rare-variant, near-structure) against C.E.R.’s wishlist? Flagged as the next research task before fully committing to Snap as the research backbone; not yet done.</w:t>
      </w:r>
    </w:p>
    <w:p>
      <w:pPr>
        <w:numPr>
          <w:ilvl w:val="0"/>
          <w:numId w:val="1002"/>
        </w:numPr>
      </w:pPr>
      <w:r>
        <w:rPr>
          <w:bCs/>
          <w:b/>
        </w:rPr>
        <w:t xml:space="preserve">Vanilla Backport’s per-pot storage capacity/interaction behavior</w:t>
      </w:r>
      <w:r>
        <w:t xml:space="preserve"> </w:t>
      </w:r>
      <w:r>
        <w:t xml:space="preserve">— exact item capacity and interaction behavior in C.E.R.’s specific 1.21.1/NeoForge setup, before treating decorated-pot storage as more than decorative QoL.</w:t>
      </w:r>
    </w:p>
    <w:p>
      <w:pPr>
        <w:numPr>
          <w:ilvl w:val="0"/>
          <w:numId w:val="1002"/>
        </w:numPr>
      </w:pPr>
      <w:r>
        <w:rPr>
          <w:bCs/>
          <w:b/>
        </w:rPr>
        <w:t xml:space="preserve">Are Vanilla Backport’s Temperate/Cold/Warm biome tags exposed as ordinary Minecraft tags, or are they VB’s own compatibility-layer tags?</w:t>
      </w:r>
      <w:r>
        <w:t xml:space="preserve"> </w:t>
      </w:r>
      <w:r>
        <w:t xml:space="preserve">Matters less if the</w:t>
      </w:r>
      <w:r>
        <w:t xml:space="preserve"> </w:t>
      </w:r>
      <w:r>
        <w:t xml:space="preserve">“</w:t>
      </w:r>
      <w:r>
        <w:t xml:space="preserve">decouple Affinity distribution from VB’s tags</w:t>
      </w:r>
      <w:r>
        <w:t xml:space="preserve">”</w:t>
      </w:r>
      <w:r>
        <w:t xml:space="preserve"> </w:t>
      </w:r>
      <w:r>
        <w:t xml:space="preserve">proposal is adopted (it builds on vanilla/common tags regardless), but the underlying factual question is still open.</w:t>
      </w:r>
    </w:p>
    <w:p>
      <w:pPr>
        <w:numPr>
          <w:ilvl w:val="0"/>
          <w:numId w:val="1002"/>
        </w:numPr>
      </w:pPr>
      <w:r>
        <w:rPr>
          <w:bCs/>
          <w:b/>
        </w:rPr>
        <w:t xml:space="preserve">IV Scanner / Paleontology / CobbleStats — confirm fixed by the Cobblemon 1.7.3 revert.</w:t>
      </w:r>
      <w:r>
        <w:t xml:space="preserve"> </w:t>
      </w:r>
      <w:r>
        <w:t xml:space="preserve">All three were flagged against the same 1.7.x-vs-1.8.0 compatibility gap that the Snap-crash revert addressed; expected to also be resolved but</w:t>
      </w:r>
      <w:r>
        <w:t xml:space="preserve"> </w:t>
      </w:r>
      <w:r>
        <w:rPr>
          <w:bCs/>
          <w:b/>
        </w:rPr>
        <w:t xml:space="preserve">not yet confirmed working by Wesley</w:t>
      </w:r>
      <w:r>
        <w:t xml:space="preserve">. Close this out once tested, or report specifics if any of the three is still broken.</w:t>
      </w:r>
    </w:p>
    <w:p>
      <w:pPr>
        <w:numPr>
          <w:ilvl w:val="0"/>
          <w:numId w:val="1002"/>
        </w:numPr>
      </w:pPr>
      <w:r>
        <w:rPr>
          <w:bCs/>
          <w:b/>
        </w:rPr>
        <w:t xml:space="preserve">Cobblemon 1.8.1-era party-UI / Pokédex bug — is this still relevant?</w:t>
      </w:r>
      <w:r>
        <w:t xml:space="preserve"> </w:t>
      </w:r>
      <w:r>
        <w:t xml:space="preserve">The original troubleshooting thread (from before the 1.7.3 revert) ended on an unanswered diagnostic request. Likely moot now that the pack is pinned to 1.7.3, but flagged here in case any residual symptom persists post-revert:</w:t>
      </w:r>
    </w:p>
    <w:p>
      <w:pPr>
        <w:numPr>
          <w:ilvl w:val="1"/>
          <w:numId w:val="1003"/>
        </w:numPr>
        <w:pStyle w:val="Compact"/>
      </w:pPr>
      <w:r>
        <w:t xml:space="preserve">Exact Minecraft version, loader, and loader version</w:t>
      </w:r>
    </w:p>
    <w:p>
      <w:pPr>
        <w:numPr>
          <w:ilvl w:val="1"/>
          <w:numId w:val="1003"/>
        </w:numPr>
        <w:pStyle w:val="Compact"/>
      </w:pPr>
      <w:r>
        <w:t xml:space="preserve">Exact Cobblemon version and exact CobbleDex version currently installed</w:t>
      </w:r>
    </w:p>
    <w:p>
      <w:pPr>
        <w:numPr>
          <w:ilvl w:val="1"/>
          <w:numId w:val="1003"/>
        </w:numPr>
        <w:pStyle w:val="Compact"/>
      </w:pPr>
      <w:r>
        <w:t xml:space="preserve">Which Cobblemon-specific keybinds actually appear under Options → Controls</w:t>
      </w:r>
    </w:p>
    <w:p>
      <w:pPr>
        <w:numPr>
          <w:ilvl w:val="1"/>
          <w:numId w:val="1003"/>
        </w:numPr>
        <w:pStyle w:val="Compact"/>
      </w:pPr>
      <w:r>
        <w:t xml:space="preserve">Result of</w:t>
      </w:r>
      <w:r>
        <w:t xml:space="preserve"> </w:t>
      </w:r>
      <w:r>
        <w:rPr>
          <w:rStyle w:val="VerbatimChar"/>
        </w:rPr>
        <w:t xml:space="preserve">/pc</w:t>
      </w:r>
    </w:p>
    <w:p>
      <w:pPr>
        <w:numPr>
          <w:ilvl w:val="1"/>
          <w:numId w:val="1003"/>
        </w:numPr>
        <w:pStyle w:val="Compact"/>
      </w:pPr>
      <w:r>
        <w:t xml:space="preserve">Result of</w:t>
      </w:r>
      <w:r>
        <w:t xml:space="preserve"> </w:t>
      </w:r>
      <w:r>
        <w:rPr>
          <w:rStyle w:val="VerbatimChar"/>
        </w:rPr>
        <w:t xml:space="preserve">/openstarterscreen @p</w:t>
      </w:r>
      <w:r>
        <w:t xml:space="preserve"> </w:t>
      </w:r>
      <w:r>
        <w:t xml:space="preserve">(test-world only — wipes party/PC)</w:t>
      </w:r>
    </w:p>
    <w:p>
      <w:pPr>
        <w:numPr>
          <w:ilvl w:val="1"/>
          <w:numId w:val="1003"/>
        </w:numPr>
        <w:pStyle w:val="Compact"/>
      </w:pPr>
      <w:r>
        <w:t xml:space="preserve">Result of</w:t>
      </w:r>
      <w:r>
        <w:t xml:space="preserve"> </w:t>
      </w:r>
      <w:r>
        <w:rPr>
          <w:rStyle w:val="VerbatimChar"/>
        </w:rPr>
        <w:t xml:space="preserve">/spawnpokemon pikachu</w:t>
      </w:r>
      <w:r>
        <w:t xml:space="preserve"> </w:t>
      </w:r>
      <w:r>
        <w:t xml:space="preserve">— full interact/catch/party-manage/send-out test</w:t>
      </w:r>
    </w:p>
    <w:p>
      <w:pPr>
        <w:numPr>
          <w:ilvl w:val="1"/>
          <w:numId w:val="1003"/>
        </w:numPr>
        <w:pStyle w:val="Compact"/>
      </w:pPr>
      <w:r>
        <w:t xml:space="preserve">Exact Kotlin for Forge version installed, checked against what the current pinned Cobblemon build requires</w:t>
      </w:r>
    </w:p>
    <w:p>
      <w:r>
        <w:pict>
          <v:rect style="width:0;height:1.5pt" o:hralign="center" o:hrstd="t" o:hr="t"/>
        </w:pict>
      </w:r>
    </w:p>
    <w:bookmarkEnd w:id="21"/>
    <w:bookmarkStart w:id="22" w:name="dependencyaudit-housekeeping"/>
    <w:p>
      <w:pPr>
        <w:pStyle w:val="Heading2"/>
      </w:pPr>
      <w:r>
        <w:t xml:space="preserve">Dependency/audit housekeeping</w:t>
      </w:r>
    </w:p>
    <w:p>
      <w:pPr>
        <w:numPr>
          <w:ilvl w:val="0"/>
          <w:numId w:val="1004"/>
        </w:numPr>
        <w:pStyle w:val="Compact"/>
      </w:pPr>
      <w:r>
        <w:rPr>
          <w:bCs/>
          <w:b/>
        </w:rPr>
        <w:t xml:space="preserve">MezzConfig and Kotlin for Forge</w:t>
      </w:r>
      <w:r>
        <w:t xml:space="preserve"> </w:t>
      </w:r>
      <w:r>
        <w:t xml:space="preserve">— confirm which mods in the</w:t>
      </w:r>
      <w:r>
        <w:t xml:space="preserve"> </w:t>
      </w:r>
      <w:r>
        <w:rPr>
          <w:iCs/>
          <w:i/>
        </w:rPr>
        <w:t xml:space="preserve">current final</w:t>
      </w:r>
      <w:r>
        <w:t xml:space="preserve"> </w:t>
      </w:r>
      <w:r>
        <w:t xml:space="preserve">list actually require these before carrying them forward as permanent core dependencies. Never actually audited against the finalized list.</w:t>
      </w:r>
    </w:p>
    <w:p>
      <w:r>
        <w:pict>
          <v:rect style="width:0;height:1.5pt" o:hralign="center" o:hrstd="t" o:hr="t"/>
        </w:pict>
      </w:r>
    </w:p>
    <w:bookmarkEnd w:id="22"/>
    <w:bookmarkStart w:id="23" w:name="X348fc6bcd75aa80046ce673bc6f61032d4e685a"/>
    <w:p>
      <w:pPr>
        <w:pStyle w:val="Heading2"/>
      </w:pPr>
      <w:r>
        <w:t xml:space="preserve">Open narrative/lore question (intentionally left open, tracked so it doesn’t get forgotten)</w:t>
      </w:r>
    </w:p>
    <w:p>
      <w:pPr>
        <w:numPr>
          <w:ilvl w:val="0"/>
          <w:numId w:val="1005"/>
        </w:numPr>
        <w:pStyle w:val="Compact"/>
      </w:pPr>
      <w:r>
        <w:rPr>
          <w:bCs/>
          <w:b/>
        </w:rPr>
        <w:t xml:space="preserve">What actually caused the original corruption event</w:t>
      </w:r>
      <w:r>
        <w:t xml:space="preserve"> </w:t>
      </w:r>
      <w:r>
        <w:t xml:space="preserve">behind the Lost Biomes? Deliberately a late-game mystery — flagged here so it stays a tracked open thread. Now also tangled with the Lost Mob Grinders lore-merge proposal — if adopted, this question also implicitly covers</w:t>
      </w:r>
      <w:r>
        <w:t xml:space="preserve"> </w:t>
      </w:r>
      <w:r>
        <w:t xml:space="preserve">“</w:t>
      </w:r>
      <w:r>
        <w:t xml:space="preserve">what happened to the civilization that built the grinders.</w:t>
      </w:r>
      <w:r>
        <w:t xml:space="preserve">”</w:t>
      </w:r>
    </w:p>
    <w:p>
      <w:r>
        <w:pict>
          <v:rect style="width:0;height:1.5pt" o:hralign="center" o:hrstd="t" o:hr="t"/>
        </w:pict>
      </w:r>
    </w:p>
    <w:bookmarkEnd w:id="23"/>
    <w:bookmarkStart w:id="24" w:name="X794a41adebc73680cf68044276ab82aa3eb02ed"/>
    <w:p>
      <w:pPr>
        <w:pStyle w:val="Heading2"/>
      </w:pPr>
      <w:r>
        <w:t xml:space="preserve">Governance proposals awaiting your sign-off</w:t>
      </w:r>
    </w:p>
    <w:p>
      <w:pPr>
        <w:pStyle w:val="FirstParagraph"/>
      </w:pPr>
      <w:r>
        <w:t xml:space="preserve">Full detail and reasoning for each lives in</w:t>
      </w:r>
      <w:r>
        <w:t xml:space="preserve"> </w:t>
      </w:r>
      <w:r>
        <w:rPr>
          <w:rStyle w:val="VerbatimChar"/>
        </w:rPr>
        <w:t xml:space="preserve">claude/governance-and-workflow.md</w:t>
      </w:r>
      <w:r>
        <w:t xml:space="preserve">’s</w:t>
      </w:r>
      <w:r>
        <w:t xml:space="preserve"> </w:t>
      </w:r>
      <w:r>
        <w:t xml:space="preserve">“</w:t>
      </w:r>
      <w:r>
        <w:t xml:space="preserve">Open governance proposals</w:t>
      </w:r>
      <w:r>
        <w:t xml:space="preserve">”</w:t>
      </w:r>
      <w:r>
        <w:t xml:space="preserve"> </w:t>
      </w:r>
      <w:r>
        <w:t xml:space="preserve">section and</w:t>
      </w:r>
      <w:r>
        <w:t xml:space="preserve"> </w:t>
      </w:r>
      <w:r>
        <w:rPr>
          <w:rStyle w:val="VerbatimChar"/>
        </w:rPr>
        <w:t xml:space="preserve">claude/CER_ChatGPT_Import_Integration.md</w:t>
      </w:r>
      <w:r>
        <w:t xml:space="preserve">. Collected here as a flat checklist since accepting/rejecting each has downstream effects on what gets built next:</w:t>
      </w:r>
    </w:p>
    <w:p>
      <w:pPr>
        <w:numPr>
          <w:ilvl w:val="0"/>
          <w:numId w:val="1006"/>
        </w:numPr>
        <w:pStyle w:val="Compact"/>
      </w:pPr>
      <w:r>
        <w:t xml:space="preserve">☐ Lock the</w:t>
      </w:r>
      <w:r>
        <w:t xml:space="preserve"> </w:t>
      </w:r>
      <w:r>
        <w:rPr>
          <w:bCs/>
          <w:b/>
        </w:rPr>
        <w:t xml:space="preserve">Implementation Layer Principle</w:t>
      </w:r>
      <w:r>
        <w:t xml:space="preserve"> </w:t>
      </w:r>
      <w:r>
        <w:t xml:space="preserve">as F.R.M.’s 5th governance principle</w:t>
      </w:r>
    </w:p>
    <w:p>
      <w:pPr>
        <w:numPr>
          <w:ilvl w:val="0"/>
          <w:numId w:val="1006"/>
        </w:numPr>
        <w:pStyle w:val="Compact"/>
      </w:pPr>
      <w:r>
        <w:t xml:space="preserve">☐ Adopt</w:t>
      </w:r>
      <w:r>
        <w:t xml:space="preserve"> </w:t>
      </w:r>
      <w:r>
        <w:rPr>
          <w:rStyle w:val="VerbatimChar"/>
          <w:bCs/>
          <w:b/>
        </w:rPr>
        <w:t xml:space="preserve">cer:</w:t>
      </w:r>
      <w:r>
        <w:t xml:space="preserve"> </w:t>
      </w:r>
      <w:r>
        <w:t xml:space="preserve">as the single canonical namespace</w:t>
      </w:r>
    </w:p>
    <w:p>
      <w:pPr>
        <w:numPr>
          <w:ilvl w:val="0"/>
          <w:numId w:val="1006"/>
        </w:numPr>
        <w:pStyle w:val="Compact"/>
      </w:pPr>
      <w:r>
        <w:t xml:space="preserve">☐ Split Vanilla Backport into two independent M.M.I. entries</w:t>
      </w:r>
    </w:p>
    <w:p>
      <w:pPr>
        <w:numPr>
          <w:ilvl w:val="0"/>
          <w:numId w:val="1006"/>
        </w:numPr>
        <w:pStyle w:val="Compact"/>
      </w:pPr>
      <w:r>
        <w:t xml:space="preserve">☐ Drop Pokébelt in favor of a reskinned Bundle</w:t>
      </w:r>
      <w:r>
        <w:t xml:space="preserve"> </w:t>
      </w:r>
      <w:r>
        <w:rPr>
          <w:iCs/>
          <w:i/>
        </w:rPr>
        <w:t xml:space="preserve">(pending #6 above)</w:t>
      </w:r>
    </w:p>
    <w:p>
      <w:pPr>
        <w:numPr>
          <w:ilvl w:val="0"/>
          <w:numId w:val="1006"/>
        </w:numPr>
        <w:pStyle w:val="Compact"/>
      </w:pPr>
      <w:r>
        <w:t xml:space="preserve">☐ Adopt the</w:t>
      </w:r>
      <w:r>
        <w:t xml:space="preserve"> </w:t>
      </w:r>
      <w:r>
        <w:rPr>
          <w:bCs/>
          <w:b/>
        </w:rPr>
        <w:t xml:space="preserve">Research System Charter</w:t>
      </w:r>
      <w:r>
        <w:t xml:space="preserve"> </w:t>
      </w:r>
      <w:r>
        <w:t xml:space="preserve">(Snap / Research Tasks / Field Journal / FTB Quests scope split)</w:t>
      </w:r>
    </w:p>
    <w:p>
      <w:pPr>
        <w:numPr>
          <w:ilvl w:val="0"/>
          <w:numId w:val="1006"/>
        </w:numPr>
        <w:pStyle w:val="Compact"/>
      </w:pPr>
      <w:r>
        <w:t xml:space="preserve">☐ Adopt</w:t>
      </w:r>
      <w:r>
        <w:t xml:space="preserve"> </w:t>
      </w:r>
      <w:r>
        <w:rPr>
          <w:bCs/>
          <w:b/>
        </w:rPr>
        <w:t xml:space="preserve">ProgressiveStages as the single progression source of truth</w:t>
      </w:r>
      <w:r>
        <w:t xml:space="preserve"> </w:t>
      </w:r>
      <w:r>
        <w:rPr>
          <w:iCs/>
          <w:i/>
        </w:rPr>
        <w:t xml:space="preserve">(pending #4 above)</w:t>
      </w:r>
    </w:p>
    <w:p>
      <w:pPr>
        <w:numPr>
          <w:ilvl w:val="0"/>
          <w:numId w:val="1006"/>
        </w:numPr>
        <w:pStyle w:val="Compact"/>
      </w:pPr>
      <w:r>
        <w:t xml:space="preserve">☐ Adopt the</w:t>
      </w:r>
      <w:r>
        <w:t xml:space="preserve"> </w:t>
      </w:r>
      <w:r>
        <w:rPr>
          <w:bCs/>
          <w:b/>
        </w:rPr>
        <w:t xml:space="preserve">two-camera resolution</w:t>
      </w:r>
      <w:r>
        <w:t xml:space="preserve"> </w:t>
      </w:r>
      <w:r>
        <w:t xml:space="preserve">(Snap = research, Exposure = personal) and retire the generic handheld-camera placeholder</w:t>
      </w:r>
    </w:p>
    <w:p>
      <w:pPr>
        <w:numPr>
          <w:ilvl w:val="0"/>
          <w:numId w:val="1006"/>
        </w:numPr>
        <w:pStyle w:val="Compact"/>
      </w:pPr>
      <w:r>
        <w:t xml:space="preserve">☐ Downgrade the Remote Access-style dynamic multiblock GUI to a stretch goal</w:t>
      </w:r>
    </w:p>
    <w:p>
      <w:pPr>
        <w:numPr>
          <w:ilvl w:val="0"/>
          <w:numId w:val="1006"/>
        </w:numPr>
        <w:pStyle w:val="Compact"/>
      </w:pPr>
      <w:r>
        <w:t xml:space="preserve">☐ Merge the Lost Mob Grinders and Lost Biomes lore threads</w:t>
      </w:r>
    </w:p>
    <w:p>
      <w:pPr>
        <w:numPr>
          <w:ilvl w:val="0"/>
          <w:numId w:val="1006"/>
        </w:numPr>
        <w:pStyle w:val="Compact"/>
      </w:pPr>
      <w:r>
        <w:t xml:space="preserve">☐ Adopt the</w:t>
      </w:r>
      <w:r>
        <w:t xml:space="preserve"> </w:t>
      </w:r>
      <w:r>
        <w:rPr>
          <w:bCs/>
          <w:b/>
        </w:rPr>
        <w:t xml:space="preserve">Threshold Anchor (primary) + Dream Echo (secondary)</w:t>
      </w:r>
      <w:r>
        <w:t xml:space="preserve"> </w:t>
      </w:r>
      <w:r>
        <w:t xml:space="preserve">Biosphere access split</w:t>
      </w:r>
    </w:p>
    <w:p>
      <w:pPr>
        <w:numPr>
          <w:ilvl w:val="0"/>
          <w:numId w:val="1006"/>
        </w:numPr>
        <w:pStyle w:val="Compact"/>
      </w:pPr>
      <w:r>
        <w:t xml:space="preserve">☐ Decouple the Affinity biome-distribution system from Vanilla Backport’s specific tags</w:t>
      </w:r>
    </w:p>
    <w:p>
      <w:pPr>
        <w:numPr>
          <w:ilvl w:val="0"/>
          <w:numId w:val="1006"/>
        </w:numPr>
        <w:pStyle w:val="Compact"/>
      </w:pPr>
      <w:r>
        <w:t xml:space="preserve">☐ Build</w:t>
      </w:r>
      <w:r>
        <w:t xml:space="preserve"> </w:t>
      </w:r>
      <w:r>
        <w:rPr>
          <w:bCs/>
          <w:b/>
        </w:rPr>
        <w:t xml:space="preserve">Route Mode</w:t>
      </w:r>
      <w:r>
        <w:t xml:space="preserve"> </w:t>
      </w:r>
      <w:r>
        <w:t xml:space="preserve">on the terms proposed, once #5 above is answered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 ��� Unanswered Questions</dc:title>
  <dc:creator/>
  <cp:keywords/>
  <dcterms:created xsi:type="dcterms:W3CDTF">2026-09-18T22:14:50Z</dcterms:created>
  <dcterms:modified xsi:type="dcterms:W3CDTF">2026-09-18T22:14:50Z</dcterms:modified>
</cp:coreProperties>
</file>

<file path=docProps/custom.xml><?xml version="1.0" encoding="utf-8"?>
<Properties xmlns="http://schemas.openxmlformats.org/officeDocument/2006/custom-properties" xmlns:vt="http://schemas.openxmlformats.org/officeDocument/2006/docPropsVTypes"/>
</file>