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5: Technical Implementation Notes</w:t>
      </w:r>
    </w:p>
    <w:p>
      <w:pPr>
        <w:spacing w:after="120"/>
      </w:pPr>
      <w:r>
        <w:rPr>
          <w:i/>
          <w:iCs/>
        </w:rPr>
        <w:t xml:space="preserve">Compiled by Claude, September 2026. Source: the “Cobblemon EcoRe JavaScript example” document. That document is mostly iterative KubeJS code drafts — the same two scripts (a Personal Affinity slot calculator and a slot-unlock blueprint) reworked roughly six times with small refinements, plus scattered one-off scripts for quest gating, starter selection, and catch-event hooks. Rather than reproducing draft code in a design archive, this note preserves the concrete design decisions the code reveals — the source document itself remains the implementation reference. Everything below is 🕒 Locked in the sense that it's concrete, tested-in-script logic rather than an open brainstorm, though none of it has been confirmed as actually built/running in the modpack yet.</w:t>
      </w:r>
    </w:p>
    <w:p>
      <w:pPr>
        <w:pStyle w:val="Heading2"/>
        <w:spacing w:after="150" w:before="300"/>
      </w:pPr>
      <w:r>
        <w:t xml:space="preserve">1. Personal Affinity Slot Count — Resolved to 6</w:t>
      </w:r>
    </w:p>
    <w:p>
      <w:pPr>
        <w:spacing w:after="120"/>
      </w:pPr>
      <w:r>
        <w:t xml:space="preserve">Part 1 left the active-affinity capacity as “4–6 depending on progression, exact numbers tunable.” The implementation scripts confirm the endgame number as exactly 6, unlocked via a specific gate sequence rather than a smooth curve:</w:t>
      </w:r>
    </w:p>
    <w:p>
      <w:pPr>
        <w:pStyle w:val="ListParagraph"/>
        <w:numPr>
          <w:ilvl w:val="0"/>
          <w:numId w:val="1"/>
        </w:numPr>
        <w:spacing w:after="60"/>
      </w:pPr>
      <w:r>
        <w:t xml:space="preserve">Slot 1: assigned automatically at character creation to the starter's element (example given: choosing Charmander auto-assigns Slot 1 to Fire at Personal Affinity 25).</w:t>
      </w:r>
    </w:p>
    <w:p>
      <w:pPr>
        <w:pStyle w:val="ListParagraph"/>
        <w:numPr>
          <w:ilvl w:val="0"/>
          <w:numId w:val="1"/>
        </w:numPr>
        <w:spacing w:after="60"/>
      </w:pPr>
      <w:r>
        <w:t xml:space="preserve">Slots 2–4: unlocked through ordinary progression (mechanism not fully specified in the surviving script fragments).</w:t>
      </w:r>
    </w:p>
    <w:p>
      <w:pPr>
        <w:pStyle w:val="ListParagraph"/>
        <w:numPr>
          <w:ilvl w:val="0"/>
          <w:numId w:val="1"/>
        </w:numPr>
        <w:spacing w:after="60"/>
      </w:pPr>
      <w:r>
        <w:t xml:space="preserve">Slot 5 (“The Legendary Chosen One”): unlocked by reaching Personal Affinity 100 on any one type, OR capturing a Legendary/Mythical Pokémon — requires crafting a Legendary Attunement Core (Resonance Shards + a Nether Star + a Diamond Block) and right-clicking it; the item refuses to consume and tells the player what they're missing if requirements aren't met yet.</w:t>
      </w:r>
    </w:p>
    <w:p>
      <w:pPr>
        <w:pStyle w:val="ListParagraph"/>
        <w:numPr>
          <w:ilvl w:val="0"/>
          <w:numId w:val="1"/>
        </w:numPr>
        <w:spacing w:after="60"/>
      </w:pPr>
      <w:r>
        <w:t xml:space="preserve">Slot 6 (“Cosmic Convergence”): unlocked by clearing the modpack's endgame boss / main content (a persistent “pack_cleared” flag), via a Cosmic Nexus Key (Cosmic Lens + Netherite Ingot + Nether Star). Explicitly designed as a New Game Plus trigger.</w:t>
      </w:r>
    </w:p>
    <w:p>
      <w:pPr>
        <w:pStyle w:val="Heading2"/>
        <w:spacing w:after="150" w:before="300"/>
      </w:pPr>
      <w:r>
        <w:t xml:space="preserve">2. Replay Mode (New Game Plus)</w:t>
      </w:r>
    </w:p>
    <w:p>
      <w:pPr>
        <w:spacing w:after="120"/>
      </w:pPr>
      <w:r>
        <w:t xml:space="preserve">A previously undocumented system: completing the pack once (the same “pack_cleared” flag that unlocks Slot 6) enables a Replay Mode for future save files. On a Replay Mode save, choosing a starter grants an upgraded starting loadout beyond the normal kit — the given example: choosing a Dragon-type starter on a cleared-pack file grants the standard starting gear plus custom Dragon-attuned Resonance Balls, extra Ender Pearls, and an instant +25 starting Personal Dragon Affinity, letting a replaying player field-test a build immediately rather than regrinding from zero. This directly implements the Replayability goal from Part 4 (different playthroughs should diverge) as a concrete NG+ mechanic rather than just varied starting conditions. Status: 🟢 Strong reconstruction — confirmed as a real designed system, exact bonus loadouts per element not fully specified.</w:t>
      </w:r>
    </w:p>
    <w:p>
      <w:pPr>
        <w:pStyle w:val="Heading2"/>
        <w:spacing w:after="150" w:before="300"/>
      </w:pPr>
      <w:r>
        <w:t xml:space="preserve">3. Resonance/Affinity Ball Implementation — the Strange Ball Hijack</w:t>
      </w:r>
    </w:p>
    <w:p>
      <w:pPr>
        <w:spacing w:after="120"/>
      </w:pPr>
      <w:r>
        <w:t xml:space="preserve">A concrete technical path was worked out for implementing the 18 Resonance/Affinity Balls (referenced only conceptually in Part 3's material families) without writing a full Java addon: Cobblemon's Strange Ball already has a fully-coded 3D model, inventory texture, thrown-entity state, and capture animation, and Cobblemon falls back to rendering it whenever it encounters a Poké Ball variant it can't otherwise resolve. The proposed approach hijacks this via resource packs (distinct visuals per Affinity) and data packs (distinct recipes per Affinity) layered on top of the single underlying Strange Ball item, avoiding custom Java code for the visual/recipe layer. Status: ⚪ Historical/superseded — this was the original plan; see the project-direction update further down this section for the current preferred approach.</w:t>
      </w:r>
    </w:p>
    <w:p>
      <w:pPr>
        <w:pStyle w:val="Heading2"/>
        <w:spacing w:after="150" w:before="300"/>
      </w:pPr>
      <w:r>
        <w:t xml:space="preserve">4. Custom Poké Ball / Fakemon Implementation Options</w:t>
      </w:r>
    </w:p>
    <w:p>
      <w:pPr>
        <w:spacing w:after="120"/>
      </w:pPr>
      <w:r>
        <w:t xml:space="preserve">This directly addresses the “Fakemon implementation” item on Part 4's design backlog, specifically for anything needing genuinely custom Poké Ball behavior (not just reskinning). Cobblemon's Poké Ball entities/items are hardcoded, so a purely data-pack-only approach cannot create new custom capture-logic behavior; three implementation paths were laid out:</w:t>
      </w:r>
    </w:p>
    <w:p>
      <w:pPr>
        <w:pStyle w:val="ListParagraph"/>
        <w:numPr>
          <w:ilvl w:val="0"/>
          <w:numId w:val="1"/>
        </w:numPr>
        <w:spacing w:after="60"/>
      </w:pPr>
      <w:r>
        <w:t xml:space="preserve">KubeJS approach (recommended as easiest for a modpack, not a standalone mod): register the custom item via a KubeJS startup script, then intercept Cobblemon's capture events server-side to apply custom catch-rate math (e.g. weather or status-condition modifiers) without writing Java.</w:t>
      </w:r>
    </w:p>
    <w:p>
      <w:pPr>
        <w:pStyle w:val="ListParagraph"/>
        <w:numPr>
          <w:ilvl w:val="0"/>
          <w:numId w:val="1"/>
        </w:numPr>
        <w:spacing w:after="60"/>
      </w:pPr>
      <w:r>
        <w:t xml:space="preserve">Lightweight NeoForge addon: register the item through Cobblemon's own API classes as a true PokeBallItem subclass, overriding the catch-calculation method or hooking Cobblemon's PreCaptureEvent/CaptureCalculationEvent directly — cleaner integration, more setup work.</w:t>
      </w:r>
    </w:p>
    <w:p>
      <w:pPr>
        <w:pStyle w:val="ListParagraph"/>
        <w:numPr>
          <w:ilvl w:val="0"/>
          <w:numId w:val="1"/>
        </w:numPr>
        <w:spacing w:after="60"/>
      </w:pPr>
      <w:r>
        <w:t xml:space="preserve">Piggyback on an existing framework: the Modular Poké Balls mod was identified as a possible no-code backend, letting new ball logic be defined via data packs against its predefined catch-power “cores” rather than building capture logic from scratch.</w:t>
      </w:r>
    </w:p>
    <w:p>
      <w:pPr>
        <w:spacing w:after="120"/>
      </w:pPr>
      <w:r>
        <w:t xml:space="preserve">Status: 🟡 Candidate set of implementation paths; no final choice was locked in.</w:t>
      </w:r>
    </w:p>
    <w:p>
      <w:pPr>
        <w:pStyle w:val="Heading3"/>
        <w:spacing w:after="100" w:before="200"/>
      </w:pPr>
      <w:r>
        <w:t xml:space="preserve">Alternative path: extend the apricorn → ball crafting chain (AllTheMons precedent)</w:t>
      </w:r>
    </w:p>
    <w:p>
      <w:pPr>
        <w:spacing w:after="120"/>
      </w:pPr>
      <w:r>
        <w:t xml:space="preserve">A second real-world approach, found by researching the All the Mons modpack (ATMons — All the Mods 10 + Cobblemon, 1.9M+ downloads) rather than from the original transcripts. Instead of hijacking the Strange Ball fallback or building fully custom PokeBallItem classes, ATMons' own coremod extends Cobblemon's existing native apricorn-tree-→-ball crafting pipeline: it adds new apricorn tree variants tied to the pack's own tech-tier materials (AllTheModium, Vibranium, Unobtainium, Soul Lava), each producing a themed custom ball through that same existing crafting chain, via a small dedicated NeoForge coremod rather than a parallel ball system built from scratch.</w:t>
      </w:r>
    </w:p>
    <w:p>
      <w:pPr>
        <w:spacing w:after="120"/>
      </w:pPr>
      <w:r>
        <w:t xml:space="preserve">Applied to C.E.R., the equivalent would be: 18 new apricorn tree variants (or a smaller grouped set), each tied to a Type Gem/Affinity Essence input instead of a tech material, each yielding that Affinity's themed Resonance/Affinity Ball — plugging directly into a system Cobblemon already fully supports, rather than working around the Strange Ball's fallback rendering. This is a genuine alternative to the Strange Ball hijack from Section 3, not a replacement for it — which path to take is intentionally left open until implementation actually begins on the ball system. Status: 🟡 Candidate — proven at scale in a comparable pack, not yet chosen over the other option.</w:t>
      </w:r>
    </w:p>
    <w:p>
      <w:pPr>
        <w:pStyle w:val="Heading3"/>
        <w:spacing w:after="100" w:before="200"/>
      </w:pPr>
      <w:r>
        <w:t xml:space="preserve">Project direction update: Strange Ball retexture → Modular Poké Balls as the base</w:t>
      </w:r>
    </w:p>
    <w:p>
      <w:pPr>
        <w:spacing w:after="120"/>
      </w:pPr>
      <w:r>
        <w:t xml:space="preserve">Correction/update from Wesley, not a third AllTheMons technique: the project's own plan for the Resonance/Affinity Ball system has shifted. The original approach was the Strange Ball hijack in Section 3 (retexture the Strange Ball via resource/data packs, then layer custom implementation on top). The current direction is to potentially use the Modular Poké Balls mod (Section 4's Option 3) as the actual base framework instead — building C.E.R.'s own ball designs into Modular Poké Balls' predefined catch-power "cores" system rather than retexturing the Strange Ball fallback. Framed as "potentially," not yet fully locked in.</w:t>
      </w:r>
    </w:p>
    <w:p>
      <w:pPr>
        <w:spacing w:after="120"/>
      </w:pPr>
      <w:r>
        <w:t xml:space="preserve">Status: the Strange Ball hijack (Section 3) is being held in reserve rather than treated as dead — Wesley's own framing, per his direct input: it was his first idea before he knew the other paths existed, and he wants it kept as a last-resort fallback if the other two don't pan out, not discarded outright. Downgraded from 🟡 Candidate to ⚪ Historical/superseded still applies for “not the current direction,” but read that status as “banked, not buried.”</w:t>
      </w:r>
    </w:p>
    <w:p>
      <w:pPr>
        <w:spacing w:after="120"/>
      </w:pPr>
      <w:r>
        <w:t xml:space="preserve">Modular Poké Balls as base is now Wesley's stronger lean, with explicit reasoning worth preserving: most of the underlying system is already built (so it doubles as a fast proof-of-concept before deciding whether a standalone addon is worth it), and critically, it hands the player genuine creative agency over ball-making — “I wonder what this, this, and this will make” rather than “they made the ball do X, that's cool,” which fits the project's Research/Discovery theming (D.O.P.) far better than a purely designer-authored ball roster. The apricorn-crafting-chain path and the Section 4 KubeJS/NeoForge options remain open alternatives, not eliminated.</w:t>
      </w:r>
    </w:p>
    <w:p>
      <w:pPr>
        <w:spacing w:after="120"/>
      </w:pPr>
      <w:r>
        <w:t xml:space="preserve">Noted want, not yet a design: Wesley would like to find a way to include a Dark Ball (from the anime) somewhere in this system — flagged here for whenever ball implementation actually starts.</w:t>
      </w:r>
    </w:p>
    <w:p>
      <w:pPr>
        <w:pStyle w:val="Heading2"/>
        <w:spacing w:after="150" w:before="300"/>
      </w:pPr>
      <w:r>
        <w:t xml:space="preserve">5. Custom Species Fusion — Full Worked Example (Solara)</w:t>
      </w:r>
    </w:p>
    <w:p>
      <w:pPr>
        <w:spacing w:after="120"/>
      </w:pPr>
      <w:r>
        <w:t xml:space="preserve">A second technical conversation (provided separately by Wesley, possibly from a different ChatGPT account/session — not certain it was already in pt1–pt3) confirms and extends the Fusion pipeline from Part 1 with a complete worked example. Confirmed: Poke Fusion's own documented recipe format uses speciesId for both inputs and the result, and does not need to understand or generate a model itself — it only needs a valid target species ID to exist somewhere in Cobblemon's species system.</w:t>
      </w:r>
    </w:p>
    <w:p>
      <w:pPr>
        <w:spacing w:after="120"/>
      </w:pPr>
      <w:r>
        <w:t xml:space="preserve">Worked example given: Charizard + Lucario → a new custom species called Solara (ecoresonance:solara, Fire/Steel). The addon file structure laid out: a data/cobblemon/species/custom/solara.json (gameplay data — types, abilities, base stats, catch rate, egg groups, etc.) plus a resource-side set under assets/cobblemon/bedrock/pokemon/ — a Blockbench model (models/solara/solara.geo.json), a poser (posers/solara.json, binding idle/walk/battle/cry/faint animations), a resolver (resolvers/solara/0_solara_base.json, the file that actually links the species ID to its model/texture/poser), textures (including a shiny variant), and a lang file entry for name/Pokédex description. The Poke Fusion recipe itself then only needs three lines: the two input speciesIds and the result speciesId — confirming the pipeline diagram in Part 1.</w:t>
      </w:r>
    </w:p>
    <w:p>
      <w:pPr>
        <w:spacing w:after="120"/>
      </w:pPr>
      <w:r>
        <w:t xml:space="preserve">A recommended dedicated namespace convention was reconfirmed: ecoresonance:&lt;name&gt; (e.g. ecoresonance:solara, ecoresonance:shadow_dragon, ecoresonance:verdant_eevee) to avoid colliding with Cobblemon's own species IDs and to let Shadow/Fusion/restored-ancient/Affinity-specific Pokémon coexist cleanly. Recommended practical next step, worth preserving as advice for whenever implementation actually starts: build one single Charizard+Lucario→Solara prototype end-to-end first (confirm it spawns with its custom model) before building out the rest of the Fusion roster, and lock down the exact Minecraft/Cobblemon/Poke Fusion versions being targeted before writing the addon, since folder structure and JSON schemas have changed across Cobblemon versions (older addons pre-1.4 used a different resolver folder convention). Status: 🕒 Locked — this is a confirmed-workable technical pipeline, checked directly against current Poke Fusion/Cobblemon documentation rather than assumed.</w:t>
      </w:r>
    </w:p>
    <w:p>
      <w:pPr>
        <w:spacing w:after="120"/>
      </w:pPr>
      <w:r>
        <w:t xml:space="preserve">Cobblemon's aspect/resolver system was also reconfirmed as the mechanism for giving one fused species further progression states without needing separate species entries — e.g. a single ecoresonance:solara could carry normal / shadow / stellar / perfected / unstable / awakened visual aspects, meaning a Fusion result doesn't have to be a dead end (Charizard + Lucario → Solara → Fire Affinity Resonance achieved → Awakened Solara → Shadow Solara → Perfect Resonance Solara, all still one underlying species handled by Cobblemon's normal rendering).</w:t>
      </w:r>
    </w:p>
    <w:p>
      <w:pPr>
        <w:pStyle w:val="Heading2"/>
        <w:spacing w:after="150" w:before="300"/>
      </w:pPr>
      <w:r>
        <w:t xml:space="preserve">6. Assigning Affinity to an Individual Pokémon</w:t>
      </w:r>
    </w:p>
    <w:p>
      <w:pPr>
        <w:spacing w:after="120"/>
      </w:pPr>
      <w:r>
        <w:t xml:space="preserve">Confirmed design decision: Affinity should be an individual Pokémon property, not a species-level or form-level property — i.e. two wild Pikachu can have different Affinities from each other (e.g. one Storm-affinity, one Verdant-affinity), the same way two individual Pokémon can have different natures or IVs today. This was an explicit choice given how deeply Affinity was already planned to interact with Resonance, Shadow, Fusion, Fakemon, factions, and Dynamic Spawning — locking Affinity to species or form would have been simpler but much less flexible.</w:t>
      </w:r>
    </w:p>
    <w:p>
      <w:pPr>
        <w:spacing w:after="120"/>
      </w:pPr>
      <w:r>
        <w:t xml:space="preserve">Explicit caution: don't just add an arbitrary “affinity” field directly to Cobblemon's species JSON — Cobblemon's species schema doesn't natively support it, so an unrecognized field would not automatically become a functioning mechanic. Three real implementation approaches were laid 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D9D9D9" w:val="clear"/>
          </w:tcPr>
          <w:p>
            <w:r>
              <w:rPr>
                <w:b/>
                <w:bCs/>
              </w:rPr>
              <w:t xml:space="preserve">Approach</w:t>
            </w:r>
          </w:p>
        </w:tc>
        <w:tc>
          <w:tcPr>
            <w:tcW w:type="dxa" w:w="4200"/>
            <w:shd w:fill="D9D9D9" w:val="clear"/>
          </w:tcPr>
          <w:p>
            <w:r>
              <w:rPr>
                <w:b/>
                <w:bCs/>
              </w:rPr>
              <w:t xml:space="preserve">Best for</w:t>
            </w:r>
          </w:p>
        </w:tc>
        <w:tc>
          <w:tcPr>
            <w:tcW w:type="dxa" w:w="2200"/>
            <w:shd w:fill="D9D9D9" w:val="clear"/>
          </w:tcPr>
          <w:p>
            <w:r>
              <w:rPr>
                <w:b/>
                <w:bCs/>
              </w:rPr>
              <w:t xml:space="preserve">Relative difficulty</w:t>
            </w:r>
          </w:p>
        </w:tc>
      </w:tr>
      <w:tr>
        <w:tc>
          <w:tcPr>
            <w:tcW w:type="dxa" w:w="2600"/>
          </w:tcPr>
          <w:p>
            <w:r>
              <w:t xml:space="preserve">Aspect-based</w:t>
            </w:r>
          </w:p>
        </w:tc>
        <w:tc>
          <w:tcPr>
            <w:tcW w:type="dxa" w:w="4200"/>
          </w:tcPr>
          <w:p>
            <w:r>
              <w:t xml:space="preserve">Different Pokémon/forms having different Affinities (form-level granularity)</w:t>
            </w:r>
          </w:p>
        </w:tc>
        <w:tc>
          <w:tcPr>
            <w:tcW w:type="dxa" w:w="2200"/>
          </w:tcPr>
          <w:p>
            <w:r>
              <w:t xml:space="preserve">Low</w:t>
            </w:r>
          </w:p>
        </w:tc>
      </w:tr>
      <w:tr>
        <w:tc>
          <w:tcPr>
            <w:tcW w:type="dxa" w:w="2600"/>
          </w:tcPr>
          <w:p>
            <w:r>
              <w:t xml:space="preserve">Custom data/component</w:t>
            </w:r>
          </w:p>
        </w:tc>
        <w:tc>
          <w:tcPr>
            <w:tcW w:type="dxa" w:w="4200"/>
          </w:tcPr>
          <w:p>
            <w:r>
              <w:t xml:space="preserve">Every individual Pokémon having its own Affinity (individual-level granularity — the recommended approach above)</w:t>
            </w:r>
          </w:p>
        </w:tc>
        <w:tc>
          <w:tcPr>
            <w:tcW w:type="dxa" w:w="2200"/>
          </w:tcPr>
          <w:p>
            <w:r>
              <w:t xml:space="preserve">Medium</w:t>
            </w:r>
          </w:p>
        </w:tc>
      </w:tr>
      <w:tr>
        <w:tc>
          <w:tcPr>
            <w:tcW w:type="dxa" w:w="2600"/>
          </w:tcPr>
          <w:p>
            <w:r>
              <w:t xml:space="preserve">Dedicated mod/API system</w:t>
            </w:r>
          </w:p>
        </w:tc>
        <w:tc>
          <w:tcPr>
            <w:tcW w:type="dxa" w:w="4200"/>
          </w:tcPr>
          <w:p>
            <w:r>
              <w:t xml:space="preserve">Full Resonance mechanics — progression, abilities, reactions built on top of Affinity</w:t>
            </w:r>
          </w:p>
        </w:tc>
        <w:tc>
          <w:tcPr>
            <w:tcW w:type="dxa" w:w="2200"/>
          </w:tcPr>
          <w:p>
            <w:r>
              <w:t xml:space="preserve">High</w:t>
            </w:r>
          </w:p>
        </w:tc>
      </w:tr>
    </w:tbl>
    <w:p>
      <w:pPr>
        <w:spacing w:after="120"/>
      </w:pPr>
      <w:r>
        <w:t xml:space="preserve">Status: 🕒 Locked for “Affinity is per-individual-Pokémon, implemented via custom data/component, not a raw species-JSON field”; 🟡 Candidate for the exact component schema, which wasn't specified further pending confirmation of the target Cobblemon version.</w:t>
      </w:r>
    </w:p>
    <w:p>
      <w:pPr>
        <w:pStyle w:val="Heading3"/>
        <w:spacing w:after="100" w:before="200"/>
      </w:pPr>
      <w:r>
        <w:t xml:space="preserve">Claude's technical opinion, per Wesley's request</w:t>
      </w:r>
    </w:p>
    <w:p>
      <w:pPr>
        <w:spacing w:after="120"/>
      </w:pPr>
      <w:r>
        <w:t xml:space="preserve">Asked directly whether this approach holds up: yes, this is the right call, for the reason the original answer gave — Cobblemon Pokémon already carry persistent per-individual data (IVs, EVs, nature, ability, etc.), so a custom data component attached the same way is the idiomatic, low-friction approach rather than a workaround. Two things worth adding on top of what was already said:</w:t>
      </w:r>
    </w:p>
    <w:p>
      <w:pPr>
        <w:pStyle w:val="ListParagraph"/>
        <w:numPr>
          <w:ilvl w:val="0"/>
          <w:numId w:val="1"/>
        </w:numPr>
        <w:spacing w:after="60"/>
      </w:pPr>
      <w:r>
        <w:t xml:space="preserve">Concretely, this should use NeoForge's Data Attachment API (the modern standard for exactly this kind of per-instance custom data, introduced to replace the older, more boilerplate-heavy Capability pattern) rather than a bespoke Capability implementation — less code, and it's what current Cobblemon addons generally reach for first.</w:t>
      </w:r>
    </w:p>
    <w:p>
      <w:pPr>
        <w:pStyle w:val="ListParagraph"/>
        <w:numPr>
          <w:ilvl w:val="0"/>
          <w:numId w:val="1"/>
        </w:numPr>
        <w:spacing w:after="60"/>
      </w:pPr>
      <w:r>
        <w:t xml:space="preserve">The real risk isn't the initial assignment logic, it's persistence through everything Cobblemon does to a Pokémon afterward — PC storage, trading, dimension changes, server restarts. That's historically where these systems quietly break. Worth a small end-to-end prototype early (assign an Affinity, then deliberately trade/PC-store/reload and confirm it survives) before building anything else on top of the assumption that it will.</w:t>
      </w:r>
    </w:p>
    <w:p>
      <w:pPr>
        <w:spacing w:after="120"/>
      </w:pPr>
      <w:r>
        <w:t xml:space="preserve">Status: 🔵 Current proposal — Claude's own technical opinion, offered as requested, not a recovered decision.</w:t>
      </w:r>
    </w:p>
    <w:p>
      <w:pPr>
        <w:pStyle w:val="Heading2"/>
        <w:spacing w:after="150" w:before="300"/>
      </w:pPr>
      <w:r>
        <w:t xml:space="preserve">7. Attunement Cores (historical name: Resonance Cores)</w:t>
      </w:r>
    </w:p>
    <w:p>
      <w:pPr>
        <w:spacing w:after="120"/>
      </w:pPr>
      <w:r>
        <w:t xml:space="preserve">Newly surfaced by Wesley via a separate ChatGPT conversation — not previously in the archives. This is the original, more developed meaning of “Resonance Core,” distinct from the Part 3 materials-table entry now renamed Resonance Nexus (see that entry's note for the naming history).</w:t>
      </w:r>
    </w:p>
    <w:p>
      <w:pPr>
        <w:spacing w:after="120"/>
      </w:pPr>
      <w:r>
        <w:t xml:space="preserve">Concept: Type Gems were always meant to be more than ordinary crafting materials — they represent condensed, type-specific Resonance/Affinity. Attunement Cores are the next refinement step: Fire Type Gem → Fire Attunement Core, Water Type Gem → Water Attunement Core, Ghost Type Gem → Ghost Attunement Core, and so on across all 18 Affinities. Their primary intended use is specialized Poké Ball construction — giving a ball real type-specific properties instead of a generic “5× catch rate” modifier:</w:t>
      </w:r>
    </w:p>
    <w:p>
      <w:pPr>
        <w:pStyle w:val="ListParagraph"/>
        <w:numPr>
          <w:ilvl w:val="0"/>
          <w:numId w:val="1"/>
        </w:numPr>
        <w:spacing w:after="60"/>
      </w:pPr>
      <w:r>
        <w:t xml:space="preserve">Better compatibility with Pokémon of that Affinity</w:t>
      </w:r>
    </w:p>
    <w:p>
      <w:pPr>
        <w:pStyle w:val="ListParagraph"/>
        <w:numPr>
          <w:ilvl w:val="0"/>
          <w:numId w:val="1"/>
        </w:numPr>
        <w:spacing w:after="60"/>
      </w:pPr>
      <w:r>
        <w:t xml:space="preserve">Improved capture behavior</w:t>
      </w:r>
    </w:p>
    <w:p>
      <w:pPr>
        <w:pStyle w:val="ListParagraph"/>
        <w:numPr>
          <w:ilvl w:val="0"/>
          <w:numId w:val="1"/>
        </w:numPr>
        <w:spacing w:after="60"/>
      </w:pPr>
      <w:r>
        <w:t xml:space="preserve">Increased research value</w:t>
      </w:r>
    </w:p>
    <w:p>
      <w:pPr>
        <w:pStyle w:val="ListParagraph"/>
        <w:numPr>
          <w:ilvl w:val="0"/>
          <w:numId w:val="1"/>
        </w:numPr>
        <w:spacing w:after="60"/>
      </w:pPr>
      <w:r>
        <w:t xml:space="preserve">Interaction with the player's Personal/Trainer Affinity</w:t>
      </w:r>
    </w:p>
    <w:p>
      <w:pPr>
        <w:pStyle w:val="ListParagraph"/>
        <w:numPr>
          <w:ilvl w:val="0"/>
          <w:numId w:val="1"/>
        </w:numPr>
        <w:spacing w:after="60"/>
      </w:pPr>
      <w:r>
        <w:t xml:space="preserve">Environmental bonuses</w:t>
      </w:r>
    </w:p>
    <w:p>
      <w:pPr>
        <w:pStyle w:val="ListParagraph"/>
        <w:numPr>
          <w:ilvl w:val="0"/>
          <w:numId w:val="1"/>
        </w:numPr>
        <w:spacing w:after="60"/>
      </w:pPr>
      <w:r>
        <w:t xml:space="preserve">Special behavior around anomalies or particular ecosystems</w:t>
      </w:r>
    </w:p>
    <w:p>
      <w:pPr>
        <w:spacing w:after="120"/>
      </w:pPr>
      <w:r>
        <w:t xml:space="preserve">Worked examples given: a Fire Attunement Core granting advantages around Fire Pokémon and high-temperature environments; a Ghost Attunement Core interacting with Ghost Pokémon, Occultism, Shadow phenomena, haunted structures, and death-related discoveries — directly relevant to the ball-system paths in Section 6 above, since this is likely the actual per-type specialization layer any of those three ball-implementation paths would ultimately use.</w:t>
      </w:r>
    </w:p>
    <w:p>
      <w:pPr>
        <w:spacing w:after="120"/>
      </w:pPr>
      <w:r>
        <w:t xml:space="preserve">Naming history: originally called Resonance Core(s). Renamed to Attunement Core specifically because “Resonance Core” inside a “Resonance Ball” read as muddy — the established distinction became Core = the physical capture-power component, Attunement Core = the type/Affinity specialization component, Resonance Ball = the finished, Affinity-aligned ball configuration/philosophy that can contribute to World Affinity. Status: 🟢 Strong reconstruction for the core concept and the historical→current naming; 🟡 Candidate for exact mechanical properties and values, which were illustrative rather than finalized.</w:t>
      </w:r>
    </w:p>
    <w:p>
      <w:pPr>
        <w:spacing w:after="120"/>
      </w:pPr>
      <w:r>
        <w:rPr>
          <w:i/>
          <w:iCs/>
        </w:rPr>
        <w:t xml:space="preserve">❓ Open question worth Wesley's input: Part 1/Part 5 already document a Legendary Attunement Core — a specific one-off consumable item (crafted from Resonance Shards + a Nether Star + a Diamond Block) that unlocks Personal Affinity Slot #5. It's unclear whether that item is meant to be a special/endgame member of this same Attunement Core family, or just an unrelated item that happens to share the name. Flagging rather than assuming either way.</w:t>
      </w:r>
    </w:p>
    <w:p>
      <w:pPr>
        <w:pStyle w:val="Heading2"/>
        <w:spacing w:after="150" w:before="300"/>
      </w:pPr>
      <w:r>
        <w:t xml:space="preserve">Epistemic Caveat on This Document (added later, Part 10)</w:t>
      </w:r>
    </w:p>
    <w:p>
      <w:pPr>
        <w:spacing w:after="120"/>
      </w:pPr>
      <w:r>
        <w:rPr>
          <w:i/>
          <w:iCs/>
        </w:rPr>
        <w:t xml:space="preserve">Everything in this part is drawn from the JavaScript example document, which is technical exploration and drafting — not a record of what was actually built or verified to work. Code appearing here is evidence someone thought through an approach, not proof it was implemented, tested, or functioning. Treat every implementation detail in this document as a design direction to prototype and verify, not a working foundation to build directly on top of.</w:t>
      </w:r>
    </w:p>
    <w:p>
      <w:pPr>
        <w:pStyle w:val="Heading2"/>
        <w:spacing w:after="150" w:before="300"/>
      </w:pPr>
      <w:r>
        <w:t xml:space="preserve">Reconstruction note</w:t>
      </w:r>
    </w:p>
    <w:p>
      <w:pPr>
        <w:spacing w:after="120"/>
      </w:pPr>
      <w:r>
        <w:rPr>
          <w:i/>
          <w:iCs/>
        </w:rPr>
        <w:t xml:space="preserve">With this note, all four uploaded documents (pt1–pt3 and the JavaScript example) have had an initial TriSweep pass. Remaining work: the Interaction Archive and Supplemental Archive, which draw on casual/contextual material and anything that didn't cleanly fit Master or Authorities — largely material not yet separately extracted from pt1–pt3, since this pass focused on locating and organizing Master/Authorities-relevant content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2026-09-11T19:10:55.700Z</dcterms:created>
  <dcterms:modified xsi:type="dcterms:W3CDTF">2026-09-11T19:10:55.700Z</dcterms:modified>
</cp:coreProperties>
</file>

<file path=docProps/custom.xml><?xml version="1.0" encoding="utf-8"?>
<Properties xmlns="http://schemas.openxmlformats.org/officeDocument/2006/custom-properties" xmlns:vt="http://schemas.openxmlformats.org/officeDocument/2006/docPropsVTypes"/>
</file>