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 Reconstruction Atlas — Working Master</w:t>
      </w:r>
    </w:p>
    <w:p>
      <w:pPr>
        <w:jc w:val="right"/>
      </w:pPr>
      <w:r>
        <w:rPr>
          <w:i/>
        </w:rPr>
        <w:t>C.E.R. reconstruction working document — 25 September 2026</w:t>
      </w:r>
    </w:p>
    <w:p>
      <w:pPr>
        <w:pStyle w:val="Heading1"/>
      </w:pPr>
      <w:r>
        <w:t>Purpose</w:t>
      </w:r>
    </w:p>
    <w:p>
      <w:r>
        <w:t>This Atlas is the first reconstruction-layer document. It does not replace the old Master Archives. It records what the surviving evidence currently allows us to say about the project, how concepts relate, and which statements are safe to carry forward into a new canonical rebuild.</w:t>
      </w:r>
    </w:p>
    <w:p>
      <w:pPr>
        <w:pStyle w:val="Heading1"/>
      </w:pPr>
      <w:r>
        <w:t>Reconstruction rule</w:t>
      </w:r>
    </w:p>
    <w:p>
      <w:r>
        <w:t>The old archive is evidence, not authority. A statement is carried forward only after identity, chronology, status, terminology, and relationship to competing statements have been considered.</w:t>
      </w:r>
    </w:p>
    <w:p>
      <w:pPr>
        <w:pStyle w:val="Heading1"/>
      </w:pPr>
      <w:r>
        <w:t>Evidence/status vocabulary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Status</w:t>
            </w:r>
          </w:p>
        </w:tc>
        <w:tc>
          <w:tcPr>
            <w:tcW w:type="dxa" w:w="4968"/>
            <w:vAlign w:val="center"/>
          </w:tcPr>
          <w:p>
            <w:r>
              <w:rPr>
                <w:b/>
              </w:rPr>
              <w:t>Meaning</w:t>
            </w:r>
          </w:p>
        </w:tc>
      </w:tr>
      <w:tr>
        <w:tc>
          <w:tcPr>
            <w:tcW w:type="dxa" w:w="4968"/>
            <w:vAlign w:val="top"/>
          </w:tcPr>
          <w:p>
            <w:r>
              <w:t>LOCKED</w:t>
            </w:r>
          </w:p>
        </w:tc>
        <w:tc>
          <w:tcPr>
            <w:tcW w:type="dxa" w:w="4968"/>
            <w:vAlign w:val="top"/>
          </w:tcPr>
          <w:p>
            <w:r>
              <w:t>Explicitly confirmed or subsequently preserved by a later decision.</w:t>
            </w:r>
          </w:p>
        </w:tc>
      </w:tr>
      <w:tr>
        <w:tc>
          <w:tcPr>
            <w:tcW w:type="dxa" w:w="4968"/>
            <w:vAlign w:val="top"/>
          </w:tcPr>
          <w:p>
            <w:r>
              <w:t>STRONG RECONSTRUCTION</w:t>
            </w:r>
          </w:p>
        </w:tc>
        <w:tc>
          <w:tcPr>
            <w:tcW w:type="dxa" w:w="4968"/>
            <w:vAlign w:val="top"/>
          </w:tcPr>
          <w:p>
            <w:r>
              <w:t>Supported by multiple independent surviving records, but not necessarily a direct final human lock.</w:t>
            </w:r>
          </w:p>
        </w:tc>
      </w:tr>
      <w:tr>
        <w:tc>
          <w:tcPr>
            <w:tcW w:type="dxa" w:w="4968"/>
            <w:vAlign w:val="top"/>
          </w:tcPr>
          <w:p>
            <w:r>
              <w:t>CURRENT PROPOSAL</w:t>
            </w:r>
          </w:p>
        </w:tc>
        <w:tc>
          <w:tcPr>
            <w:tcW w:type="dxa" w:w="4968"/>
            <w:vAlign w:val="top"/>
          </w:tcPr>
          <w:p>
            <w:r>
              <w:t>A live design proposal; useful evidence, not settled canon.</w:t>
            </w:r>
          </w:p>
        </w:tc>
      </w:tr>
      <w:tr>
        <w:tc>
          <w:tcPr>
            <w:tcW w:type="dxa" w:w="4968"/>
            <w:vAlign w:val="top"/>
          </w:tcPr>
          <w:p>
            <w:r>
              <w:t>CANDIDATE</w:t>
            </w:r>
          </w:p>
        </w:tc>
        <w:tc>
          <w:tcPr>
            <w:tcW w:type="dxa" w:w="4968"/>
            <w:vAlign w:val="top"/>
          </w:tcPr>
          <w:p>
            <w:r>
              <w:t>Considered but not yet selected.</w:t>
            </w:r>
          </w:p>
        </w:tc>
      </w:tr>
      <w:tr>
        <w:tc>
          <w:tcPr>
            <w:tcW w:type="dxa" w:w="4968"/>
            <w:vAlign w:val="top"/>
          </w:tcPr>
          <w:p>
            <w:r>
              <w:t>UNRESOLVED</w:t>
            </w:r>
          </w:p>
        </w:tc>
        <w:tc>
          <w:tcPr>
            <w:tcW w:type="dxa" w:w="4968"/>
            <w:vAlign w:val="top"/>
          </w:tcPr>
          <w:p>
            <w:r>
              <w:t>Conflicting or incomplete evidence requires reconciliation.</w:t>
            </w:r>
          </w:p>
        </w:tc>
      </w:tr>
      <w:tr>
        <w:tc>
          <w:tcPr>
            <w:tcW w:type="dxa" w:w="4968"/>
            <w:vAlign w:val="top"/>
          </w:tcPr>
          <w:p>
            <w:r>
              <w:t>HISTORICAL/SUPERSEDED</w:t>
            </w:r>
          </w:p>
        </w:tc>
        <w:tc>
          <w:tcPr>
            <w:tcW w:type="dxa" w:w="4968"/>
            <w:vAlign w:val="top"/>
          </w:tcPr>
          <w:p>
            <w:r>
              <w:t>Former state retained for lineage only.</w:t>
            </w:r>
          </w:p>
        </w:tc>
      </w:tr>
      <w:tr>
        <w:tc>
          <w:tcPr>
            <w:tcW w:type="dxa" w:w="4968"/>
            <w:vAlign w:val="top"/>
          </w:tcPr>
          <w:p>
            <w:r>
              <w:t>NEEDS VERIFICATION</w:t>
            </w:r>
          </w:p>
        </w:tc>
        <w:tc>
          <w:tcPr>
            <w:tcW w:type="dxa" w:w="4968"/>
            <w:vAlign w:val="top"/>
          </w:tcPr>
          <w:p>
            <w:r>
              <w:t>Evidence exists but technical/source verification is incomplete.</w:t>
            </w:r>
          </w:p>
        </w:tc>
      </w:tr>
    </w:tbl>
    <w:p>
      <w:pPr>
        <w:pStyle w:val="Heading1"/>
      </w:pPr>
      <w:r>
        <w:t>Current structural findings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Reconstructed state</w:t>
            </w:r>
          </w:p>
        </w:tc>
      </w:tr>
      <w:tr>
        <w:tc>
          <w:tcPr>
            <w:tcW w:type="dxa" w:w="4968"/>
            <w:vAlign w:val="top"/>
          </w:tcPr>
          <w:p>
            <w:r>
              <w:t>Project identity</w:t>
            </w:r>
          </w:p>
        </w:tc>
        <w:tc>
          <w:tcPr>
            <w:tcW w:type="dxa" w:w="4968"/>
            <w:vAlign w:val="top"/>
          </w:tcPr>
          <w:p>
            <w:r>
              <w:t>The project settled on Cobblemon: Ecological Resonance (C.E.R./E.R.); earlier names remain historical lineage.</w:t>
            </w:r>
          </w:p>
        </w:tc>
      </w:tr>
      <w:tr>
        <w:tc>
          <w:tcPr>
            <w:tcW w:type="dxa" w:w="4968"/>
            <w:vAlign w:val="top"/>
          </w:tcPr>
          <w:p>
            <w:r>
              <w:t>Reconstruction origin</w:t>
            </w:r>
          </w:p>
        </w:tc>
        <w:tc>
          <w:tcPr>
            <w:tcW w:type="dxa" w:w="4968"/>
            <w:vAlign w:val="top"/>
          </w:tcPr>
          <w:p>
            <w:r>
              <w:t>A significant loss of conversational history triggered the archival/reconstruction program. The archive system therefore exists partly as loss-prevention infrastructure.</w:t>
            </w:r>
          </w:p>
        </w:tc>
      </w:tr>
      <w:tr>
        <w:tc>
          <w:tcPr>
            <w:tcW w:type="dxa" w:w="4968"/>
            <w:vAlign w:val="top"/>
          </w:tcPr>
          <w:p>
            <w:r>
              <w:t>Governance</w:t>
            </w:r>
          </w:p>
        </w:tc>
        <w:tc>
          <w:tcPr>
            <w:tcW w:type="dxa" w:w="4968"/>
            <w:vAlign w:val="top"/>
          </w:tcPr>
          <w:p>
            <w:r>
              <w:t>Free Reign Mode (F.R.M.) became the delegated decision framework for archive reconstruction, with mandatory logging and locked-decision protection.</w:t>
            </w:r>
          </w:p>
        </w:tc>
      </w:tr>
      <w:tr>
        <w:tc>
          <w:tcPr>
            <w:tcW w:type="dxa" w:w="4968"/>
            <w:vAlign w:val="top"/>
          </w:tcPr>
          <w:p>
            <w:r>
              <w:t>Canonical evidence backbone</w:t>
            </w:r>
          </w:p>
        </w:tc>
        <w:tc>
          <w:tcPr>
            <w:tcW w:type="dxa" w:w="4968"/>
            <w:vAlign w:val="top"/>
          </w:tcPr>
          <w:p>
            <w:r>
              <w:t>Master Archives, Authorities, Interaction, Supplemental, Change Log, and Master Mod Index form the old evidence architecture; the new reconstruction layer sits above them rather than becoming another content archive.</w:t>
            </w:r>
          </w:p>
        </w:tc>
      </w:tr>
      <w:tr>
        <w:tc>
          <w:tcPr>
            <w:tcW w:type="dxa" w:w="4968"/>
            <w:vAlign w:val="top"/>
          </w:tcPr>
          <w:p>
            <w:r>
              <w:t>Change history</w:t>
            </w:r>
          </w:p>
        </w:tc>
        <w:tc>
          <w:tcPr>
            <w:tcW w:type="dxa" w:w="4968"/>
            <w:vAlign w:val="top"/>
          </w:tcPr>
          <w:p>
            <w:r>
              <w:t>The surviving Change Log is populated through CLR-0131. It is therefore a major chronological spine, but it is not itself proof that every earlier decision was originally recorded perfectly.</w:t>
            </w:r>
          </w:p>
        </w:tc>
      </w:tr>
      <w:tr>
        <w:tc>
          <w:tcPr>
            <w:tcW w:type="dxa" w:w="4968"/>
            <w:vAlign w:val="top"/>
          </w:tcPr>
          <w:p>
            <w:r>
              <w:t>Terminology drift</w:t>
            </w:r>
          </w:p>
        </w:tc>
        <w:tc>
          <w:tcPr>
            <w:tcW w:type="dxa" w:w="4968"/>
            <w:vAlign w:val="top"/>
          </w:tcPr>
          <w:p>
            <w:r>
              <w:t>Several important names changed over time: Gumball Selector→Resonance Selection; Memory Echo→Memory Phenomenon; Resonance Heart→Resonance Nexus; ball component Resonance Core→Attunement Core; Type Gem→Affinity Gem.</w:t>
            </w:r>
          </w:p>
        </w:tc>
      </w:tr>
      <w:tr>
        <w:tc>
          <w:tcPr>
            <w:tcW w:type="dxa" w:w="4968"/>
            <w:vAlign w:val="top"/>
          </w:tcPr>
          <w:p>
            <w:r>
              <w:t>Taxonomy</w:t>
            </w:r>
          </w:p>
        </w:tc>
        <w:tc>
          <w:tcPr>
            <w:tcW w:type="dxa" w:w="4968"/>
            <w:vAlign w:val="top"/>
          </w:tcPr>
          <w:p>
            <w:r>
              <w:t>The project explicitly reconciled competing Pokémon classification models and later resolved Ecological Apex as an umbrella while keeping Alpha on a separate phenotype axis.</w:t>
            </w:r>
          </w:p>
        </w:tc>
      </w:tr>
      <w:tr>
        <w:tc>
          <w:tcPr>
            <w:tcW w:type="dxa" w:w="4968"/>
            <w:vAlign w:val="top"/>
          </w:tcPr>
          <w:p>
            <w:r>
              <w:t>Affinity architecture</w:t>
            </w:r>
          </w:p>
        </w:tc>
        <w:tc>
          <w:tcPr>
            <w:tcW w:type="dxa" w:w="4968"/>
            <w:vAlign w:val="top"/>
          </w:tcPr>
          <w:p>
            <w:r>
              <w:t>Trainer/Personal Affinity permanence and World Affinity decay are distinct. The later two-phase model makes World Affinity permanent after Stabilizer activation while leaving a fluctuating Resonance layer.</w:t>
            </w:r>
          </w:p>
        </w:tc>
      </w:tr>
      <w:tr>
        <w:tc>
          <w:tcPr>
            <w:tcW w:type="dxa" w:w="4968"/>
            <w:vAlign w:val="top"/>
          </w:tcPr>
          <w:p>
            <w:r>
              <w:t>Ecology</w:t>
            </w:r>
          </w:p>
        </w:tc>
        <w:tc>
          <w:tcPr>
            <w:tcW w:type="dxa" w:w="4968"/>
            <w:vAlign w:val="top"/>
          </w:tcPr>
          <w:p>
            <w:r>
              <w:t>The ecological loop is repeatedly described as Explore→Discover→Interact→Generate Resonance→Restore→Unlock→Explore, with Pokémon participating in ecological roles rather than merely responding to the player.</w:t>
            </w:r>
          </w:p>
        </w:tc>
      </w:tr>
      <w:tr>
        <w:tc>
          <w:tcPr>
            <w:tcW w:type="dxa" w:w="4968"/>
            <w:vAlign w:val="top"/>
          </w:tcPr>
          <w:p>
            <w:r>
              <w:t>Progression stack</w:t>
            </w:r>
          </w:p>
        </w:tc>
        <w:tc>
          <w:tcPr>
            <w:tcW w:type="dxa" w:w="4968"/>
            <w:vAlign w:val="top"/>
          </w:tcPr>
          <w:p>
            <w:r>
              <w:t>The evidence supports a layered progression concept: World Affinity→Personal Affinity→Skills/Paths→Hearts→Virtues→Domain Authority, with some implementation details still evolving.</w:t>
            </w:r>
          </w:p>
        </w:tc>
      </w:tr>
      <w:tr>
        <w:tc>
          <w:tcPr>
            <w:tcW w:type="dxa" w:w="4968"/>
            <w:vAlign w:val="top"/>
          </w:tcPr>
          <w:p>
            <w:r>
              <w:t>Production philosophy</w:t>
            </w:r>
          </w:p>
        </w:tc>
        <w:tc>
          <w:tcPr>
            <w:tcW w:type="dxa" w:w="4968"/>
            <w:vAlign w:val="top"/>
          </w:tcPr>
          <w:p>
            <w:r>
              <w:t>A major recovered thread rejects ordinary 3×3 hand assembly as the default progression path and favors Create/ritual/engineering/synthesis pipelines, but this should be treated as a design thread until reconciled against final mod-selection evidence.</w:t>
            </w:r>
          </w:p>
        </w:tc>
      </w:tr>
    </w:tbl>
    <w:p>
      <w:pPr>
        <w:pStyle w:val="Heading1"/>
      </w:pPr>
      <w:r>
        <w:t>Locked lineage that should not be silently rewritten</w:t>
      </w:r>
    </w:p>
    <w:p>
      <w:pPr>
        <w:pStyle w:val="ListBullet"/>
      </w:pPr>
      <w:r>
        <w:t>Alpha functionality was superseded by native Cobblemon 1.8.0 support.</w:t>
      </w:r>
    </w:p>
    <w:p>
      <w:pPr>
        <w:pStyle w:val="ListBullet"/>
      </w:pPr>
      <w:r>
        <w:t>Brecher's Cobblemon Fusion was promoted to the mechanical basis of the IV Fusion branch.</w:t>
      </w:r>
    </w:p>
    <w:p>
      <w:pPr>
        <w:pStyle w:val="ListBullet"/>
      </w:pPr>
      <w:r>
        <w:t>Fractured Fusion and Shadow Fusion replaced earlier Tainted/Corrupted terminology.</w:t>
      </w:r>
    </w:p>
    <w:p>
      <w:pPr>
        <w:pStyle w:val="ListBullet"/>
      </w:pPr>
      <w:r>
        <w:t>Distorted is the general ecological-state category; Twisted is a developed specific case.</w:t>
      </w:r>
    </w:p>
    <w:p>
      <w:pPr>
        <w:pStyle w:val="ListBullet"/>
      </w:pPr>
      <w:r>
        <w:t>Titan Pokémon became a named subfamily; Ecological Apex became the broader umbrella classification.</w:t>
      </w:r>
    </w:p>
    <w:p>
      <w:pPr>
        <w:pStyle w:val="ListBullet"/>
      </w:pPr>
      <w:r>
        <w:t>Affinity Assimilation was separated from Affinity Attunement/Transmutation and later locked as a stability factor.</w:t>
      </w:r>
    </w:p>
    <w:p>
      <w:pPr>
        <w:pStyle w:val="ListBullet"/>
      </w:pPr>
      <w:r>
        <w:t>Affinity Essence was rescued from an on-hold state and given the Catalyze/Synthesize role in Resonance Synthesis.</w:t>
      </w:r>
    </w:p>
    <w:p>
      <w:pPr>
        <w:pStyle w:val="ListBullet"/>
      </w:pPr>
      <w:r>
        <w:t>Trainer Affinity is permanent; Active Resonance/Dormant Affinity can fluctuate.</w:t>
      </w:r>
    </w:p>
    <w:p>
      <w:pPr>
        <w:pStyle w:val="ListBullet"/>
      </w:pPr>
      <w:r>
        <w:t>World Affinity uses the later two-phase decay/Stabilizer model.</w:t>
      </w:r>
    </w:p>
    <w:p>
      <w:pPr>
        <w:pStyle w:val="ListBullet"/>
      </w:pPr>
      <w:r>
        <w:t>Master Mod Index became the standing place for mod-status tracking.</w:t>
      </w:r>
    </w:p>
    <w:p>
      <w:pPr>
        <w:pStyle w:val="Heading1"/>
      </w:pPr>
      <w:r>
        <w:t>Known unresolved nodes to carry into the new canonical build</w:t>
      </w:r>
    </w:p>
    <w:p>
      <w:pPr>
        <w:pStyle w:val="ListBullet"/>
      </w:pPr>
      <w:r>
        <w:t>Resonance Synthesizer vs. Resonance Synthesis Chamber — same apparatus or separate tiers remains unresolved.</w:t>
      </w:r>
    </w:p>
    <w:p>
      <w:pPr>
        <w:pStyle w:val="ListBullet"/>
      </w:pPr>
      <w:r>
        <w:t>Genesect Drives versus Resonance Drives — overlapping element coverage and the exact Drive→Affinity determination model remain unresolved in the surviving record.</w:t>
      </w:r>
    </w:p>
    <w:p>
      <w:pPr>
        <w:pStyle w:val="ListBullet"/>
      </w:pPr>
      <w:r>
        <w:t>Affinity Essence variant architecture — 18 affinity variants, one neutral essence, or a staged model was not fully settled.</w:t>
      </w:r>
    </w:p>
    <w:p>
      <w:pPr>
        <w:pStyle w:val="ListBullet"/>
      </w:pPr>
      <w:r>
        <w:t>Affinity Observatory vs. Restoration Observatory naming remains an explicit open item.</w:t>
      </w:r>
    </w:p>
    <w:p>
      <w:pPr>
        <w:pStyle w:val="ListBullet"/>
      </w:pPr>
      <w:r>
        <w:t>Affinity Essence versus Catalyst relationship needs reconciliation rather than automatic merging.</w:t>
      </w:r>
    </w:p>
    <w:p>
      <w:pPr>
        <w:pStyle w:val="ListBullet"/>
      </w:pPr>
      <w:r>
        <w:t>Dynamic population tracking remains a design gap even though ecological roles/reintroduction are otherwise developed.</w:t>
      </w:r>
    </w:p>
    <w:p>
      <w:pPr>
        <w:pStyle w:val="ListBullet"/>
      </w:pPr>
      <w:r>
        <w:t>Exact NPC/faction infrastructure has improved through later mod research but should be reconciled against the custom-design layer before canonization.</w:t>
      </w:r>
    </w:p>
    <w:p>
      <w:pPr>
        <w:pStyle w:val="ListBullet"/>
      </w:pPr>
      <w:r>
        <w:t>Several visual/build variants (especially Observatory variants) remain alternatives rather than one locked geometry.</w:t>
      </w:r>
    </w:p>
    <w:p>
      <w:pPr>
        <w:pStyle w:val="Heading1"/>
      </w:pPr>
      <w:r>
        <w:t>Important reconstruction principle</w:t>
      </w:r>
    </w:p>
    <w:p>
      <w:r>
        <w:t>Do not use the newest document as a blanket override. The evidence contains later documents that explicitly say they are stale, unintegrated, proposals, or parallel tracks. The reconstruction must therefore resolve by lineage and status, not by file date alone.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