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C.E.R. Evidence Register — Reconstruction Layer</w:t>
      </w:r>
    </w:p>
    <w:p>
      <w:pPr>
        <w:jc w:val="right"/>
      </w:pPr>
      <w:r>
        <w:rPr>
          <w:i/>
        </w:rPr>
        <w:t>C.E.R. reconstruction working document — 25 September 2026</w:t>
      </w:r>
    </w:p>
    <w:p>
      <w:pPr>
        <w:pStyle w:val="Heading1"/>
      </w:pPr>
      <w:r>
        <w:t>Scope</w:t>
      </w:r>
    </w:p>
    <w:p>
      <w:r>
        <w:t>This register records the principal evidence families used in the current pass. It is deliberately source-oriented: the purpose is to make later canonical writing traceable.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Evidence family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What it establishes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Primary use</w:t>
            </w:r>
          </w:p>
        </w:tc>
      </w:tr>
      <w:tr>
        <w:tc>
          <w:tcPr>
            <w:tcW w:type="dxa" w:w="1987"/>
            <w:vAlign w:val="top"/>
          </w:tcPr>
          <w:p>
            <w:r>
              <w:t>ER-001</w:t>
            </w:r>
          </w:p>
        </w:tc>
        <w:tc>
          <w:tcPr>
            <w:tcW w:type="dxa" w:w="1987"/>
            <w:vAlign w:val="top"/>
          </w:tcPr>
          <w:p>
            <w:r>
              <w:t>Change Log Archive</w:t>
            </w:r>
          </w:p>
        </w:tc>
        <w:tc>
          <w:tcPr>
            <w:tcW w:type="dxa" w:w="1987"/>
            <w:vAlign w:val="top"/>
          </w:tcPr>
          <w:p>
            <w:r>
              <w:t>Primary chronological spine; current surviving sequence reaches CLR-0131.</w:t>
            </w:r>
          </w:p>
        </w:tc>
        <w:tc>
          <w:tcPr>
            <w:tcW w:type="dxa" w:w="1987"/>
            <w:vAlign w:val="top"/>
          </w:tcPr>
          <w:p>
            <w:r>
              <w:t>High</w:t>
            </w:r>
          </w:p>
        </w:tc>
        <w:tc>
          <w:tcPr>
            <w:tcW w:type="dxa" w:w="1987"/>
            <w:vAlign w:val="top"/>
          </w:tcPr>
          <w:p>
            <w:r>
              <w:t>Chronology / decisions</w:t>
            </w:r>
          </w:p>
        </w:tc>
      </w:tr>
      <w:tr>
        <w:tc>
          <w:tcPr>
            <w:tcW w:type="dxa" w:w="1987"/>
            <w:vAlign w:val="top"/>
          </w:tcPr>
          <w:p>
            <w:r>
              <w:t>ER-002</w:t>
            </w:r>
          </w:p>
        </w:tc>
        <w:tc>
          <w:tcPr>
            <w:tcW w:type="dxa" w:w="1987"/>
            <w:vAlign w:val="top"/>
          </w:tcPr>
          <w:p>
            <w:r>
              <w:t>Master Mod Index</w:t>
            </w:r>
          </w:p>
        </w:tc>
        <w:tc>
          <w:tcPr>
            <w:tcW w:type="dxa" w:w="1987"/>
            <w:vAlign w:val="top"/>
          </w:tcPr>
          <w:p>
            <w:r>
              <w:t>Current-era mod-status and compatibility decisions; includes confirmed, consideration, review, and custom categories.</w:t>
            </w:r>
          </w:p>
        </w:tc>
        <w:tc>
          <w:tcPr>
            <w:tcW w:type="dxa" w:w="1987"/>
            <w:vAlign w:val="top"/>
          </w:tcPr>
          <w:p>
            <w:r>
              <w:t>High</w:t>
            </w:r>
          </w:p>
        </w:tc>
        <w:tc>
          <w:tcPr>
            <w:tcW w:type="dxa" w:w="1987"/>
            <w:vAlign w:val="top"/>
          </w:tcPr>
          <w:p>
            <w:r>
              <w:t>Implementation</w:t>
            </w:r>
          </w:p>
        </w:tc>
      </w:tr>
      <w:tr>
        <w:tc>
          <w:tcPr>
            <w:tcW w:type="dxa" w:w="1987"/>
            <w:vAlign w:val="top"/>
          </w:tcPr>
          <w:p>
            <w:r>
              <w:t>ER-003</w:t>
            </w:r>
          </w:p>
        </w:tc>
        <w:tc>
          <w:tcPr>
            <w:tcW w:type="dxa" w:w="1987"/>
            <w:vAlign w:val="top"/>
          </w:tcPr>
          <w:p>
            <w:r>
              <w:t>Master Archives Parts 1–17</w:t>
            </w:r>
          </w:p>
        </w:tc>
        <w:tc>
          <w:tcPr>
            <w:tcW w:type="dxa" w:w="1987"/>
            <w:vAlign w:val="top"/>
          </w:tcPr>
          <w:p>
            <w:r>
              <w:t>Main content corpus; Parts 15–17 demonstrate later additions beyond the older 10-part snapshot.</w:t>
            </w:r>
          </w:p>
        </w:tc>
        <w:tc>
          <w:tcPr>
            <w:tcW w:type="dxa" w:w="1987"/>
            <w:vAlign w:val="top"/>
          </w:tcPr>
          <w:p>
            <w:r>
              <w:t>High</w:t>
            </w:r>
          </w:p>
        </w:tc>
        <w:tc>
          <w:tcPr>
            <w:tcW w:type="dxa" w:w="1987"/>
            <w:vAlign w:val="top"/>
          </w:tcPr>
          <w:p>
            <w:r>
              <w:t>Project content</w:t>
            </w:r>
          </w:p>
        </w:tc>
      </w:tr>
      <w:tr>
        <w:tc>
          <w:tcPr>
            <w:tcW w:type="dxa" w:w="1987"/>
            <w:vAlign w:val="top"/>
          </w:tcPr>
          <w:p>
            <w:r>
              <w:t>ER-004</w:t>
            </w:r>
          </w:p>
        </w:tc>
        <w:tc>
          <w:tcPr>
            <w:tcW w:type="dxa" w:w="1987"/>
            <w:vAlign w:val="top"/>
          </w:tcPr>
          <w:p>
            <w:r>
              <w:t>Authorities Archive</w:t>
            </w:r>
          </w:p>
        </w:tc>
        <w:tc>
          <w:tcPr>
            <w:tcW w:type="dxa" w:w="1987"/>
            <w:vAlign w:val="top"/>
          </w:tcPr>
          <w:p>
            <w:r>
              <w:t>Delegated authority, permissions, standing rules, and governance precedents.</w:t>
            </w:r>
          </w:p>
        </w:tc>
        <w:tc>
          <w:tcPr>
            <w:tcW w:type="dxa" w:w="1987"/>
            <w:vAlign w:val="top"/>
          </w:tcPr>
          <w:p>
            <w:r>
              <w:t>High</w:t>
            </w:r>
          </w:p>
        </w:tc>
        <w:tc>
          <w:tcPr>
            <w:tcW w:type="dxa" w:w="1987"/>
            <w:vAlign w:val="top"/>
          </w:tcPr>
          <w:p>
            <w:r>
              <w:t>Governance</w:t>
            </w:r>
          </w:p>
        </w:tc>
      </w:tr>
      <w:tr>
        <w:tc>
          <w:tcPr>
            <w:tcW w:type="dxa" w:w="1987"/>
            <w:vAlign w:val="top"/>
          </w:tcPr>
          <w:p>
            <w:r>
              <w:t>ER-005</w:t>
            </w:r>
          </w:p>
        </w:tc>
        <w:tc>
          <w:tcPr>
            <w:tcW w:type="dxa" w:w="1987"/>
            <w:vAlign w:val="top"/>
          </w:tcPr>
          <w:p>
            <w:r>
              <w:t>Interaction Archive</w:t>
            </w:r>
          </w:p>
        </w:tc>
        <w:tc>
          <w:tcPr>
            <w:tcW w:type="dxa" w:w="1987"/>
            <w:vAlign w:val="top"/>
          </w:tcPr>
          <w:p>
            <w:r>
              <w:t>Conversation-derived context and interaction history; useful for reconstructing intent and origin.</w:t>
            </w:r>
          </w:p>
        </w:tc>
        <w:tc>
          <w:tcPr>
            <w:tcW w:type="dxa" w:w="1987"/>
            <w:vAlign w:val="top"/>
          </w:tcPr>
          <w:p>
            <w:r>
              <w:t>Medium-High</w:t>
            </w:r>
          </w:p>
        </w:tc>
        <w:tc>
          <w:tcPr>
            <w:tcW w:type="dxa" w:w="1987"/>
            <w:vAlign w:val="top"/>
          </w:tcPr>
          <w:p>
            <w:r>
              <w:t>Intent / lineage</w:t>
            </w:r>
          </w:p>
        </w:tc>
      </w:tr>
      <w:tr>
        <w:tc>
          <w:tcPr>
            <w:tcW w:type="dxa" w:w="1987"/>
            <w:vAlign w:val="top"/>
          </w:tcPr>
          <w:p>
            <w:r>
              <w:t>ER-006</w:t>
            </w:r>
          </w:p>
        </w:tc>
        <w:tc>
          <w:tcPr>
            <w:tcW w:type="dxa" w:w="1987"/>
            <w:vAlign w:val="top"/>
          </w:tcPr>
          <w:p>
            <w:r>
              <w:t>Supplemental Archive</w:t>
            </w:r>
          </w:p>
        </w:tc>
        <w:tc>
          <w:tcPr>
            <w:tcW w:type="dxa" w:w="1987"/>
            <w:vAlign w:val="top"/>
          </w:tcPr>
          <w:p>
            <w:r>
              <w:t>Supporting material that may not belong in core canon but can explain origins and alternatives.</w:t>
            </w:r>
          </w:p>
        </w:tc>
        <w:tc>
          <w:tcPr>
            <w:tcW w:type="dxa" w:w="1987"/>
            <w:vAlign w:val="top"/>
          </w:tcPr>
          <w:p>
            <w:r>
              <w:t>Medium</w:t>
            </w:r>
          </w:p>
        </w:tc>
        <w:tc>
          <w:tcPr>
            <w:tcW w:type="dxa" w:w="1987"/>
            <w:vAlign w:val="top"/>
          </w:tcPr>
          <w:p>
            <w:r>
              <w:t>Context</w:t>
            </w:r>
          </w:p>
        </w:tc>
      </w:tr>
      <w:tr>
        <w:tc>
          <w:tcPr>
            <w:tcW w:type="dxa" w:w="1987"/>
            <w:vAlign w:val="top"/>
          </w:tcPr>
          <w:p>
            <w:r>
              <w:t>ER-007</w:t>
            </w:r>
          </w:p>
        </w:tc>
        <w:tc>
          <w:tcPr>
            <w:tcW w:type="dxa" w:w="1987"/>
            <w:vAlign w:val="top"/>
          </w:tcPr>
          <w:p>
            <w:r>
              <w:t>Historical Audit 2026-09-12</w:t>
            </w:r>
          </w:p>
        </w:tc>
        <w:tc>
          <w:tcPr>
            <w:tcW w:type="dxa" w:w="1987"/>
            <w:vAlign w:val="top"/>
          </w:tcPr>
          <w:p>
            <w:r>
              <w:t>Cross-sweep historical analysis; valuable for identifying duplicates, omissions, and unresolved lineage.</w:t>
            </w:r>
          </w:p>
        </w:tc>
        <w:tc>
          <w:tcPr>
            <w:tcW w:type="dxa" w:w="1987"/>
            <w:vAlign w:val="top"/>
          </w:tcPr>
          <w:p>
            <w:r>
              <w:t>Medium-High</w:t>
            </w:r>
          </w:p>
        </w:tc>
        <w:tc>
          <w:tcPr>
            <w:tcW w:type="dxa" w:w="1987"/>
            <w:vAlign w:val="top"/>
          </w:tcPr>
          <w:p>
            <w:r>
              <w:t>Audit</w:t>
            </w:r>
          </w:p>
        </w:tc>
      </w:tr>
      <w:tr>
        <w:tc>
          <w:tcPr>
            <w:tcW w:type="dxa" w:w="1987"/>
            <w:vAlign w:val="top"/>
          </w:tcPr>
          <w:p>
            <w:r>
              <w:t>ER-008</w:t>
            </w:r>
          </w:p>
        </w:tc>
        <w:tc>
          <w:tcPr>
            <w:tcW w:type="dxa" w:w="1987"/>
            <w:vAlign w:val="top"/>
          </w:tcPr>
          <w:p>
            <w:r>
              <w:t>ChatGPT Reconciliation Report</w:t>
            </w:r>
          </w:p>
        </w:tc>
        <w:tc>
          <w:tcPr>
            <w:tcW w:type="dxa" w:w="1987"/>
            <w:vAlign w:val="top"/>
          </w:tcPr>
          <w:p>
            <w:r>
              <w:t>Explicit comparison between parallel archive tracks; identifies stale terminology and genuinely new material.</w:t>
            </w:r>
          </w:p>
        </w:tc>
        <w:tc>
          <w:tcPr>
            <w:tcW w:type="dxa" w:w="1987"/>
            <w:vAlign w:val="top"/>
          </w:tcPr>
          <w:p>
            <w:r>
              <w:t>High</w:t>
            </w:r>
          </w:p>
        </w:tc>
        <w:tc>
          <w:tcPr>
            <w:tcW w:type="dxa" w:w="1987"/>
            <w:vAlign w:val="top"/>
          </w:tcPr>
          <w:p>
            <w:r>
              <w:t>Cross-track reconciliation</w:t>
            </w:r>
          </w:p>
        </w:tc>
      </w:tr>
      <w:tr>
        <w:tc>
          <w:tcPr>
            <w:tcW w:type="dxa" w:w="1987"/>
            <w:vAlign w:val="top"/>
          </w:tcPr>
          <w:p>
            <w:r>
              <w:t>ER-009</w:t>
            </w:r>
          </w:p>
        </w:tc>
        <w:tc>
          <w:tcPr>
            <w:tcW w:type="dxa" w:w="1987"/>
            <w:vAlign w:val="top"/>
          </w:tcPr>
          <w:p>
            <w:r>
              <w:t>Reintegration Sweep Findings</w:t>
            </w:r>
          </w:p>
        </w:tc>
        <w:tc>
          <w:tcPr>
            <w:tcW w:type="dxa" w:w="1987"/>
            <w:vAlign w:val="top"/>
          </w:tcPr>
          <w:p>
            <w:r>
              <w:t>Tests whether proposed/recovered material already exists elsewhere and prevents duplicate reintegration.</w:t>
            </w:r>
          </w:p>
        </w:tc>
        <w:tc>
          <w:tcPr>
            <w:tcW w:type="dxa" w:w="1987"/>
            <w:vAlign w:val="top"/>
          </w:tcPr>
          <w:p>
            <w:r>
              <w:t>High</w:t>
            </w:r>
          </w:p>
        </w:tc>
        <w:tc>
          <w:tcPr>
            <w:tcW w:type="dxa" w:w="1987"/>
            <w:vAlign w:val="top"/>
          </w:tcPr>
          <w:p>
            <w:r>
              <w:t>Deduplication</w:t>
            </w:r>
          </w:p>
        </w:tc>
      </w:tr>
      <w:tr>
        <w:tc>
          <w:tcPr>
            <w:tcW w:type="dxa" w:w="1987"/>
            <w:vAlign w:val="top"/>
          </w:tcPr>
          <w:p>
            <w:r>
              <w:t>ER-010</w:t>
            </w:r>
          </w:p>
        </w:tc>
        <w:tc>
          <w:tcPr>
            <w:tcW w:type="dxa" w:w="1987"/>
            <w:vAlign w:val="top"/>
          </w:tcPr>
          <w:p>
            <w:r>
              <w:t>Full Sweep Findings — UNINTEGRATED</w:t>
            </w:r>
          </w:p>
        </w:tc>
        <w:tc>
          <w:tcPr>
            <w:tcW w:type="dxa" w:w="1987"/>
            <w:vAlign w:val="top"/>
          </w:tcPr>
          <w:p>
            <w:r>
              <w:t>Recovered candidates such as Skill Tree, boss philosophy, Paradox philosophy, Ditto Synthesis, and crafting-removal philosophy; explicitly not automatically integrated.</w:t>
            </w:r>
          </w:p>
        </w:tc>
        <w:tc>
          <w:tcPr>
            <w:tcW w:type="dxa" w:w="1987"/>
            <w:vAlign w:val="top"/>
          </w:tcPr>
          <w:p>
            <w:r>
              <w:t>High</w:t>
            </w:r>
          </w:p>
        </w:tc>
        <w:tc>
          <w:tcPr>
            <w:tcW w:type="dxa" w:w="1987"/>
            <w:vAlign w:val="top"/>
          </w:tcPr>
          <w:p>
            <w:r>
              <w:t>Candidate recovery</w:t>
            </w:r>
          </w:p>
        </w:tc>
      </w:tr>
      <w:tr>
        <w:tc>
          <w:tcPr>
            <w:tcW w:type="dxa" w:w="1987"/>
            <w:vAlign w:val="top"/>
          </w:tcPr>
          <w:p>
            <w:r>
              <w:t>ER-011</w:t>
            </w:r>
          </w:p>
        </w:tc>
        <w:tc>
          <w:tcPr>
            <w:tcW w:type="dxa" w:w="1987"/>
            <w:vAlign w:val="top"/>
          </w:tcPr>
          <w:p>
            <w:r>
              <w:t>Open Questions / Loose Ends</w:t>
            </w:r>
          </w:p>
        </w:tc>
        <w:tc>
          <w:tcPr>
            <w:tcW w:type="dxa" w:w="1987"/>
            <w:vAlign w:val="top"/>
          </w:tcPr>
          <w:p>
            <w:r>
              <w:t>Explicit unresolved nodes; prevents reconstruction from falsely converting uncertainty into canon.</w:t>
            </w:r>
          </w:p>
        </w:tc>
        <w:tc>
          <w:tcPr>
            <w:tcW w:type="dxa" w:w="1987"/>
            <w:vAlign w:val="top"/>
          </w:tcPr>
          <w:p>
            <w:r>
              <w:t>High</w:t>
            </w:r>
          </w:p>
        </w:tc>
        <w:tc>
          <w:tcPr>
            <w:tcW w:type="dxa" w:w="1987"/>
            <w:vAlign w:val="top"/>
          </w:tcPr>
          <w:p>
            <w:r>
              <w:t>Unresolved state</w:t>
            </w:r>
          </w:p>
        </w:tc>
      </w:tr>
      <w:tr>
        <w:tc>
          <w:tcPr>
            <w:tcW w:type="dxa" w:w="1987"/>
            <w:vAlign w:val="top"/>
          </w:tcPr>
          <w:p>
            <w:r>
              <w:t>ER-012</w:t>
            </w:r>
          </w:p>
        </w:tc>
        <w:tc>
          <w:tcPr>
            <w:tcW w:type="dxa" w:w="1987"/>
            <w:vAlign w:val="top"/>
          </w:tcPr>
          <w:p>
            <w:r>
              <w:t>Missed Questions</w:t>
            </w:r>
          </w:p>
        </w:tc>
        <w:tc>
          <w:tcPr>
            <w:tcW w:type="dxa" w:w="1987"/>
            <w:vAlign w:val="top"/>
          </w:tcPr>
          <w:p>
            <w:r>
              <w:t>Secondary completeness pass; useful for identifying promises/questions that may have fallen through archive boundaries.</w:t>
            </w:r>
          </w:p>
        </w:tc>
        <w:tc>
          <w:tcPr>
            <w:tcW w:type="dxa" w:w="1987"/>
            <w:vAlign w:val="top"/>
          </w:tcPr>
          <w:p>
            <w:r>
              <w:t>Medium</w:t>
            </w:r>
          </w:p>
        </w:tc>
        <w:tc>
          <w:tcPr>
            <w:tcW w:type="dxa" w:w="1987"/>
            <w:vAlign w:val="top"/>
          </w:tcPr>
          <w:p>
            <w:r>
              <w:t>Completeness</w:t>
            </w:r>
          </w:p>
        </w:tc>
      </w:tr>
      <w:tr>
        <w:tc>
          <w:tcPr>
            <w:tcW w:type="dxa" w:w="1987"/>
            <w:vAlign w:val="top"/>
          </w:tcPr>
          <w:p>
            <w:r>
              <w:t>ER-013</w:t>
            </w:r>
          </w:p>
        </w:tc>
        <w:tc>
          <w:tcPr>
            <w:tcW w:type="dxa" w:w="1987"/>
            <w:vAlign w:val="top"/>
          </w:tcPr>
          <w:p>
            <w:r>
              <w:t>Governance Protocol</w:t>
            </w:r>
          </w:p>
        </w:tc>
        <w:tc>
          <w:tcPr>
            <w:tcW w:type="dxa" w:w="1987"/>
            <w:vAlign w:val="top"/>
          </w:tcPr>
          <w:p>
            <w:r>
              <w:t>Portable process framework extracted from the old project. Useful as process evidence, but not creative canon.</w:t>
            </w:r>
          </w:p>
        </w:tc>
        <w:tc>
          <w:tcPr>
            <w:tcW w:type="dxa" w:w="1987"/>
            <w:vAlign w:val="top"/>
          </w:tcPr>
          <w:p>
            <w:r>
              <w:t>High</w:t>
            </w:r>
          </w:p>
        </w:tc>
        <w:tc>
          <w:tcPr>
            <w:tcW w:type="dxa" w:w="1987"/>
            <w:vAlign w:val="top"/>
          </w:tcPr>
          <w:p>
            <w:r>
              <w:t>Process only</w:t>
            </w:r>
          </w:p>
        </w:tc>
      </w:tr>
      <w:tr>
        <w:tc>
          <w:tcPr>
            <w:tcW w:type="dxa" w:w="1987"/>
            <w:vAlign w:val="top"/>
          </w:tcPr>
          <w:p>
            <w:r>
              <w:t>ER-014</w:t>
            </w:r>
          </w:p>
        </w:tc>
        <w:tc>
          <w:tcPr>
            <w:tcW w:type="dxa" w:w="1987"/>
            <w:vAlign w:val="top"/>
          </w:tcPr>
          <w:p>
            <w:r>
              <w:t>Update 4 / Chat update 6 corpus</w:t>
            </w:r>
          </w:p>
        </w:tc>
        <w:tc>
          <w:tcPr>
            <w:tcW w:type="dxa" w:w="1987"/>
            <w:vAlign w:val="top"/>
          </w:tcPr>
          <w:p>
            <w:r>
              <w:t>Parallel export lineage containing copies of many core archives plus later working documents.</w:t>
            </w:r>
          </w:p>
        </w:tc>
        <w:tc>
          <w:tcPr>
            <w:tcW w:type="dxa" w:w="1987"/>
            <w:vAlign w:val="top"/>
          </w:tcPr>
          <w:p>
            <w:r>
              <w:t>High</w:t>
            </w:r>
          </w:p>
        </w:tc>
        <w:tc>
          <w:tcPr>
            <w:tcW w:type="dxa" w:w="1987"/>
            <w:vAlign w:val="top"/>
          </w:tcPr>
          <w:p>
            <w:r>
              <w:t>Parallel-source verification</w:t>
            </w:r>
          </w:p>
        </w:tc>
      </w:tr>
      <w:tr>
        <w:tc>
          <w:tcPr>
            <w:tcW w:type="dxa" w:w="1987"/>
            <w:vAlign w:val="top"/>
          </w:tcPr>
          <w:p>
            <w:r>
              <w:t>ER-015</w:t>
            </w:r>
          </w:p>
        </w:tc>
        <w:tc>
          <w:tcPr>
            <w:tcW w:type="dxa" w:w="1987"/>
            <w:vAlign w:val="top"/>
          </w:tcPr>
          <w:p>
            <w:r>
              <w:t>Repository 5 structure</w:t>
            </w:r>
          </w:p>
        </w:tc>
        <w:tc>
          <w:tcPr>
            <w:tcW w:type="dxa" w:w="1987"/>
            <w:vAlign w:val="top"/>
          </w:tcPr>
          <w:p>
            <w:r>
              <w:t>Migration-state repository showing separate Originals, Master Archives, Authorities, Changelog, Hand Analysis, Building Guides, Integration, and migration material.</w:t>
            </w:r>
          </w:p>
        </w:tc>
        <w:tc>
          <w:tcPr>
            <w:tcW w:type="dxa" w:w="1987"/>
            <w:vAlign w:val="top"/>
          </w:tcPr>
          <w:p>
            <w:r>
              <w:t>High</w:t>
            </w:r>
          </w:p>
        </w:tc>
        <w:tc>
          <w:tcPr>
            <w:tcW w:type="dxa" w:w="1987"/>
            <w:vAlign w:val="top"/>
          </w:tcPr>
          <w:p>
            <w:r>
              <w:t>Repository topology</w:t>
            </w:r>
          </w:p>
        </w:tc>
      </w:tr>
    </w:tbl>
    <w:p>
      <w:pPr>
        <w:pStyle w:val="Heading1"/>
      </w:pPr>
      <w:r>
        <w:t>Evidence handling rules</w:t>
      </w:r>
    </w:p>
    <w:p>
      <w:pPr>
        <w:pStyle w:val="ListBullet"/>
      </w:pPr>
      <w:r>
        <w:t>An explicit 'UNINTEGRATED' label is evidence that the content existed, not evidence that it became canon.</w:t>
      </w:r>
    </w:p>
    <w:p>
      <w:pPr>
        <w:pStyle w:val="ListBullet"/>
      </w:pPr>
      <w:r>
        <w:t>A later change-log entry can supersede an earlier one, but the earlier entry remains useful as historical lineage.</w:t>
      </w:r>
    </w:p>
    <w:p>
      <w:pPr>
        <w:pStyle w:val="ListBullet"/>
      </w:pPr>
      <w:r>
        <w:t>Parallel copies with identical hashes/content are duplicates, not independent confirmation.</w:t>
      </w:r>
    </w:p>
    <w:p>
      <w:pPr>
        <w:pStyle w:val="ListBullet"/>
      </w:pPr>
      <w:r>
        <w:t>Independent recovery of the same concept is stronger corroboration than repeated copying of the same archive file.</w:t>
      </w:r>
    </w:p>
    <w:p>
      <w:pPr>
        <w:pStyle w:val="ListBullet"/>
      </w:pPr>
      <w:r>
        <w:t>Absence from a master archive is not proof of rejection; it may indicate omission, supersession, or an intentionally external working note.</w:t>
      </w:r>
    </w:p>
    <w:p>
      <w:pPr>
        <w:pStyle w:val="ListBullet"/>
      </w:pPr>
      <w:r>
        <w:t>Open-question documents are evidence of uncertainty and must not be mined for accidental canon.</w:t>
      </w:r>
    </w:p>
    <w:p>
      <w:pPr>
        <w:pStyle w:val="ListBullet"/>
      </w:pPr>
      <w:r>
        <w:t>Governance/process documents must not be mistaken for creative/project decisions.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