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C.E.R. Reconstructed Chronology — Decision Spine</w:t>
      </w:r>
    </w:p>
    <w:p>
      <w:pPr>
        <w:jc w:val="right"/>
      </w:pPr>
      <w:r>
        <w:rPr>
          <w:i/>
        </w:rPr>
        <w:t>C.E.R. reconstruction working document — 25 September 2026</w:t>
      </w:r>
    </w:p>
    <w:p>
      <w:pPr>
        <w:pStyle w:val="Heading1"/>
      </w:pPr>
      <w:r>
        <w:t>Chronology note</w:t>
      </w:r>
    </w:p>
    <w:p>
      <w:r>
        <w:t>The chronology below is reconstructed primarily from the sequential Change Log. It is therefore a chronology of documented development decisions, not a claim that every idea originated on the exact date of its CLR entry.</w:t>
      </w:r>
    </w:p>
    <w:p>
      <w:pPr>
        <w:pStyle w:val="Heading1"/>
      </w:pPr>
      <w:r>
        <w:t>Phase A — Foundation &amp; terminology (CLR-0001–0022)</w:t>
      </w:r>
    </w:p>
    <w:p>
      <w:r>
        <w:t>F.R.M. adopted; major terminology collisions resolved; Pokémon taxonomy reconciled; Fusion terminology stabilized; Brecher's Fusion promoted; Attunement/Transmutation/Assimilation separated; Titan introduced; Genesis and Resonance systems expanded; Change Log formally established.</w:t>
      </w:r>
    </w:p>
    <w:p>
      <w:pPr>
        <w:pStyle w:val="Heading1"/>
      </w:pPr>
      <w:r>
        <w:t>Phase B — Drive / starter / material architecture (CLR-0023–0037)</w:t>
      </w:r>
    </w:p>
    <w:p>
      <w:r>
        <w:t>Assimilation locked as a stability factor; canonical Drives recovered; starting-world/starter archive established; Echo Token architecture confirmed; Resonance Fossils and restoration signatures specified; Drive system expanded and then split into Genesis Drives + Resonance Drives; Electric Drive naming underwent multiple explicit supersessions.</w:t>
      </w:r>
    </w:p>
    <w:p>
      <w:pPr>
        <w:pStyle w:val="Heading1"/>
      </w:pPr>
      <w:r>
        <w:t>Phase C — Audit / world-system expansion (CLR-0038–0056)</w:t>
      </w:r>
    </w:p>
    <w:p>
      <w:r>
        <w:t>Feature audit created; White Apricorn system locked; Virtue Nodes classified as custom; Resonance Gateway/outbreak system recovered; Ecological Apex umbrella resolved; Titan encounter/capture rules tightened; Affinity Essence rescued; Affinity permanence and World Affinity decay reconciled; Sundering introduced; two-phase Affinity model locked; M.M.I. created.</w:t>
      </w:r>
    </w:p>
    <w:p>
      <w:pPr>
        <w:pStyle w:val="Heading1"/>
      </w:pPr>
      <w:r>
        <w:t>Phase D — Consolidation &amp; systematic sweeps (CLR-0057–0073)</w:t>
      </w:r>
    </w:p>
    <w:p>
      <w:r>
        <w:t>Mod-source corrections, content-consolidation rules, full archive sweeps, enhanced research branches, Guardian Syndicate/Restoration, Landmark Build Guide integration, and Affinity Essence purity/IV-EV work were consolidated.</w:t>
      </w:r>
    </w:p>
    <w:p>
      <w:pPr>
        <w:pStyle w:val="Heading1"/>
      </w:pPr>
      <w:r>
        <w:t>Phase E — Reconciliation &amp; visual/build expansion (CLR-0074–0089)</w:t>
      </w:r>
    </w:p>
    <w:p>
      <w:r>
        <w:t>Three design threads received archive homes; parallel ChatGPT terminology was reconciled; Observatory variants were recorded; stale references were corrected; Cobbleverse/mod research expanded; level-cap distinctions were clarified.</w:t>
      </w:r>
    </w:p>
    <w:p>
      <w:pPr>
        <w:pStyle w:val="Heading1"/>
      </w:pPr>
      <w:r>
        <w:t>Phase F — Mod research acceleration (CLR-0090–0104)</w:t>
      </w:r>
    </w:p>
    <w:p>
      <w:r>
        <w:t>Mega, PC, minimap, cards, safari, cosmetic, analyzer, dungeon, trial, fusion, bike, loot, and compatibility research expanded the M.M.I.; duplicate entries were cleaned; critical technical caveats were surfaced.</w:t>
      </w:r>
    </w:p>
    <w:p>
      <w:pPr>
        <w:pStyle w:val="Heading1"/>
      </w:pPr>
      <w:r>
        <w:t>Phase G — Infrastructure / governance hardening (CLR-0105–0118)</w:t>
      </w:r>
    </w:p>
    <w:p>
      <w:r>
        <w:t>Nuzlocke/Soul Link held as candidate; NPC/faction infrastructure improved; loader/bridge issues resolved; mental-economy delegation principle and synergy tracking added; sweep registry established; Battle Tower/TBCS proposals refined; reintegration sweep found and categorized genuine gaps.</w:t>
      </w:r>
    </w:p>
    <w:p>
      <w:pPr>
        <w:pStyle w:val="Heading1"/>
      </w:pPr>
      <w:r>
        <w:t>Phase H — Redundancy, loot, replication, final ZIP scrutiny (CLR-0119–0131)</w:t>
      </w:r>
    </w:p>
    <w:p>
      <w:r>
        <w:t>Redundancy sweeps cross-checked; Ride On retained; loot/per-player discovery resolved; Replication Matter expanded; multiple remaining gaps were identified; Blank Keystone ceremony was added; remaining ZIP contents received a final scrutiny pass; Cobblemon Boosters were reframed as temporary amplification.</w:t>
      </w:r>
    </w:p>
    <w:p>
      <w:pPr>
        <w:pStyle w:val="Heading1"/>
      </w:pPr>
      <w:r>
        <w:t>Key supersession chains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Documented chain</w:t>
            </w:r>
          </w:p>
        </w:tc>
      </w:tr>
      <w:tr>
        <w:tc>
          <w:tcPr>
            <w:tcW w:type="dxa" w:w="4968"/>
            <w:vAlign w:val="top"/>
          </w:tcPr>
          <w:p>
            <w:r>
              <w:t>Naming: Gumball Selector</w:t>
            </w:r>
          </w:p>
        </w:tc>
        <w:tc>
          <w:tcPr>
            <w:tcW w:type="dxa" w:w="4968"/>
            <w:vAlign w:val="top"/>
          </w:tcPr>
          <w:p>
            <w:r>
              <w:t>→ Resonance Selection</w:t>
            </w:r>
          </w:p>
        </w:tc>
      </w:tr>
      <w:tr>
        <w:tc>
          <w:tcPr>
            <w:tcW w:type="dxa" w:w="4968"/>
            <w:vAlign w:val="top"/>
          </w:tcPr>
          <w:p>
            <w:r>
              <w:t>Naming: Memory Echo</w:t>
            </w:r>
          </w:p>
        </w:tc>
        <w:tc>
          <w:tcPr>
            <w:tcW w:type="dxa" w:w="4968"/>
            <w:vAlign w:val="top"/>
          </w:tcPr>
          <w:p>
            <w:r>
              <w:t>→ Memory Phenomenon</w:t>
            </w:r>
          </w:p>
        </w:tc>
      </w:tr>
      <w:tr>
        <w:tc>
          <w:tcPr>
            <w:tcW w:type="dxa" w:w="4968"/>
            <w:vAlign w:val="top"/>
          </w:tcPr>
          <w:p>
            <w:r>
              <w:t>Material: Resonance Heart</w:t>
            </w:r>
          </w:p>
        </w:tc>
        <w:tc>
          <w:tcPr>
            <w:tcW w:type="dxa" w:w="4968"/>
            <w:vAlign w:val="top"/>
          </w:tcPr>
          <w:p>
            <w:r>
              <w:t>→ Resonance Core → Resonance Nexus</w:t>
            </w:r>
          </w:p>
        </w:tc>
      </w:tr>
      <w:tr>
        <w:tc>
          <w:tcPr>
            <w:tcW w:type="dxa" w:w="4968"/>
            <w:vAlign w:val="top"/>
          </w:tcPr>
          <w:p>
            <w:r>
              <w:t>Ball component: Resonance Core</w:t>
            </w:r>
          </w:p>
        </w:tc>
        <w:tc>
          <w:tcPr>
            <w:tcW w:type="dxa" w:w="4968"/>
            <w:vAlign w:val="top"/>
          </w:tcPr>
          <w:p>
            <w:r>
              <w:t>→ Attunement Core</w:t>
            </w:r>
          </w:p>
        </w:tc>
      </w:tr>
      <w:tr>
        <w:tc>
          <w:tcPr>
            <w:tcW w:type="dxa" w:w="4968"/>
            <w:vAlign w:val="top"/>
          </w:tcPr>
          <w:p>
            <w:r>
              <w:t>Fusion aberration</w:t>
            </w:r>
          </w:p>
        </w:tc>
        <w:tc>
          <w:tcPr>
            <w:tcW w:type="dxa" w:w="4968"/>
            <w:vAlign w:val="top"/>
          </w:tcPr>
          <w:p>
            <w:r>
              <w:t>Tainted/Corrupted → Fractured/Shadow</w:t>
            </w:r>
          </w:p>
        </w:tc>
      </w:tr>
      <w:tr>
        <w:tc>
          <w:tcPr>
            <w:tcW w:type="dxa" w:w="4968"/>
            <w:vAlign w:val="top"/>
          </w:tcPr>
          <w:p>
            <w:r>
              <w:t>Electric Drive</w:t>
            </w:r>
          </w:p>
        </w:tc>
        <w:tc>
          <w:tcPr>
            <w:tcW w:type="dxa" w:w="4968"/>
            <w:vAlign w:val="top"/>
          </w:tcPr>
          <w:p>
            <w:r>
              <w:t>Induction → Conductor → Conduction</w:t>
            </w:r>
          </w:p>
        </w:tc>
      </w:tr>
      <w:tr>
        <w:tc>
          <w:tcPr>
            <w:tcW w:type="dxa" w:w="4968"/>
            <w:vAlign w:val="top"/>
          </w:tcPr>
          <w:p>
            <w:r>
              <w:t>World Affinity model</w:t>
            </w:r>
          </w:p>
        </w:tc>
        <w:tc>
          <w:tcPr>
            <w:tcW w:type="dxa" w:w="4968"/>
            <w:vAlign w:val="top"/>
          </w:tcPr>
          <w:p>
            <w:r>
              <w:t>flat/ambiguous reading → two-phase decay/Stabilizer model</w:t>
            </w:r>
          </w:p>
        </w:tc>
      </w:tr>
    </w:tbl>
    <w:p>
      <w:pPr>
        <w:pStyle w:val="Heading1"/>
      </w:pPr>
      <w:r>
        <w:t>Chronology warnings</w:t>
      </w:r>
    </w:p>
    <w:p>
      <w:pPr>
        <w:pStyle w:val="ListBullet"/>
      </w:pPr>
      <w:r>
        <w:t>CLR-0035, CLR-0036, and CLR-0037 demonstrate why 'latest file' is insufficient: a locked decision can be explicitly superseded later.</w:t>
      </w:r>
    </w:p>
    <w:p>
      <w:pPr>
        <w:pStyle w:val="ListBullet"/>
      </w:pPr>
      <w:r>
        <w:t>CLR-0052–0055 demonstrate a refinement chain where later entries do not merely rename a concept; they change the governing model.</w:t>
      </w:r>
    </w:p>
    <w:p>
      <w:pPr>
        <w:pStyle w:val="ListBullet"/>
      </w:pPr>
      <w:r>
        <w:t>CLR-0075 explicitly closes the parallel ChatGPT terminology reconciliation, so older ChatGPT terminology should not be treated as current merely because it appears in an Open Questions file.</w:t>
      </w:r>
    </w:p>
    <w:p>
      <w:pPr>
        <w:pStyle w:val="ListBullet"/>
      </w:pPr>
      <w:r>
        <w:t>CLR-0119–0120 show the project was already using independent redundancy sweeps to test archive integrity; these should be treated as evidence of audit maturity, not as canon content.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