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C.E.R. Reconciliation Matrix — Carry Forward / Revisit / Archive</w:t>
      </w:r>
    </w:p>
    <w:p>
      <w:pPr>
        <w:jc w:val="right"/>
      </w:pPr>
      <w:r>
        <w:rPr>
          <w:i/>
        </w:rPr>
        <w:t>C.E.R. reconstruction working document — 25 September 2026</w:t>
      </w:r>
    </w:p>
    <w:p>
      <w:pPr>
        <w:pStyle w:val="Heading1"/>
      </w:pPr>
      <w:r>
        <w:t>Purpose</w:t>
      </w:r>
    </w:p>
    <w:p>
      <w:r>
        <w:t>This is the bridge between evidence collection and the future canonical rewrite.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Treatment in reconstruction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State</w:t>
            </w:r>
          </w:p>
        </w:tc>
      </w:tr>
      <w:tr>
        <w:tc>
          <w:tcPr>
            <w:tcW w:type="dxa" w:w="2484"/>
            <w:vAlign w:val="top"/>
          </w:tcPr>
          <w:p>
            <w:r>
              <w:t>Resonance Selection / Memory Phenomenon</w:t>
            </w:r>
          </w:p>
        </w:tc>
        <w:tc>
          <w:tcPr>
            <w:tcW w:type="dxa" w:w="2484"/>
            <w:vAlign w:val="top"/>
          </w:tcPr>
          <w:p>
            <w:r>
              <w:t>Carry forward</w:t>
            </w:r>
          </w:p>
        </w:tc>
        <w:tc>
          <w:tcPr>
            <w:tcW w:type="dxa" w:w="2484"/>
            <w:vAlign w:val="top"/>
          </w:tcPr>
          <w:p>
            <w:r>
              <w:t>Current terminology explicitly superseded Gumball Selector / Memory Echo.</w:t>
            </w:r>
          </w:p>
        </w:tc>
        <w:tc>
          <w:tcPr>
            <w:tcW w:type="dxa" w:w="2484"/>
            <w:vAlign w:val="top"/>
          </w:tcPr>
          <w:p>
            <w:r>
              <w:t>Locked / historical lineage</w:t>
            </w:r>
          </w:p>
        </w:tc>
      </w:tr>
      <w:tr>
        <w:tc>
          <w:tcPr>
            <w:tcW w:type="dxa" w:w="2484"/>
            <w:vAlign w:val="top"/>
          </w:tcPr>
          <w:p>
            <w:r>
              <w:t>Resonance Machine</w:t>
            </w:r>
          </w:p>
        </w:tc>
        <w:tc>
          <w:tcPr>
            <w:tcW w:type="dxa" w:w="2484"/>
            <w:vAlign w:val="top"/>
          </w:tcPr>
          <w:p>
            <w:r>
              <w:t>Carry forward carefully</w:t>
            </w:r>
          </w:p>
        </w:tc>
        <w:tc>
          <w:tcPr>
            <w:tcW w:type="dxa" w:w="2484"/>
            <w:vAlign w:val="top"/>
          </w:tcPr>
          <w:p>
            <w:r>
              <w:t>Reserved for Poképower processing system; avoid reusing for unrelated Gumball-era concepts.</w:t>
            </w:r>
          </w:p>
        </w:tc>
        <w:tc>
          <w:tcPr>
            <w:tcW w:type="dxa" w:w="2484"/>
            <w:vAlign w:val="top"/>
          </w:tcPr>
          <w:p>
            <w:r>
              <w:t>Terminology protected</w:t>
            </w:r>
          </w:p>
        </w:tc>
      </w:tr>
      <w:tr>
        <w:tc>
          <w:tcPr>
            <w:tcW w:type="dxa" w:w="2484"/>
            <w:vAlign w:val="top"/>
          </w:tcPr>
          <w:p>
            <w:r>
              <w:t>Ecological Apex / Titan / Alpha</w:t>
            </w:r>
          </w:p>
        </w:tc>
        <w:tc>
          <w:tcPr>
            <w:tcW w:type="dxa" w:w="2484"/>
            <w:vAlign w:val="top"/>
          </w:tcPr>
          <w:p>
            <w:r>
              <w:t>Carry forward</w:t>
            </w:r>
          </w:p>
        </w:tc>
        <w:tc>
          <w:tcPr>
            <w:tcW w:type="dxa" w:w="2484"/>
            <w:vAlign w:val="top"/>
          </w:tcPr>
          <w:p>
            <w:r>
              <w:t>Ecological Apex umbrella; Titan subfamily; Alpha separate phenotype axis.</w:t>
            </w:r>
          </w:p>
        </w:tc>
        <w:tc>
          <w:tcPr>
            <w:tcW w:type="dxa" w:w="2484"/>
            <w:vAlign w:val="top"/>
          </w:tcPr>
          <w:p>
            <w:r>
              <w:t>Locked</w:t>
            </w:r>
          </w:p>
        </w:tc>
      </w:tr>
      <w:tr>
        <w:tc>
          <w:tcPr>
            <w:tcW w:type="dxa" w:w="2484"/>
            <w:vAlign w:val="top"/>
          </w:tcPr>
          <w:p>
            <w:r>
              <w:t>Affinity permanence</w:t>
            </w:r>
          </w:p>
        </w:tc>
        <w:tc>
          <w:tcPr>
            <w:tcW w:type="dxa" w:w="2484"/>
            <w:vAlign w:val="top"/>
          </w:tcPr>
          <w:p>
            <w:r>
              <w:t>Carry forward</w:t>
            </w:r>
          </w:p>
        </w:tc>
        <w:tc>
          <w:tcPr>
            <w:tcW w:type="dxa" w:w="2484"/>
            <w:vAlign w:val="top"/>
          </w:tcPr>
          <w:p>
            <w:r>
              <w:t>Trainer Affinity permanent; Resonance/Dormancy can fluctuate.</w:t>
            </w:r>
          </w:p>
        </w:tc>
        <w:tc>
          <w:tcPr>
            <w:tcW w:type="dxa" w:w="2484"/>
            <w:vAlign w:val="top"/>
          </w:tcPr>
          <w:p>
            <w:r>
              <w:t>Locked</w:t>
            </w:r>
          </w:p>
        </w:tc>
      </w:tr>
      <w:tr>
        <w:tc>
          <w:tcPr>
            <w:tcW w:type="dxa" w:w="2484"/>
            <w:vAlign w:val="top"/>
          </w:tcPr>
          <w:p>
            <w:r>
              <w:t>World Affinity decay</w:t>
            </w:r>
          </w:p>
        </w:tc>
        <w:tc>
          <w:tcPr>
            <w:tcW w:type="dxa" w:w="2484"/>
            <w:vAlign w:val="top"/>
          </w:tcPr>
          <w:p>
            <w:r>
              <w:t>Carry forward</w:t>
            </w:r>
          </w:p>
        </w:tc>
        <w:tc>
          <w:tcPr>
            <w:tcW w:type="dxa" w:w="2484"/>
            <w:vAlign w:val="top"/>
          </w:tcPr>
          <w:p>
            <w:r>
              <w:t>Two-phase model supersedes simpler readings; Sundering provides proposed causal lore connection.</w:t>
            </w:r>
          </w:p>
        </w:tc>
        <w:tc>
          <w:tcPr>
            <w:tcW w:type="dxa" w:w="2484"/>
            <w:vAlign w:val="top"/>
          </w:tcPr>
          <w:p>
            <w:r>
              <w:t>Locked mechanics; lore proposal</w:t>
            </w:r>
          </w:p>
        </w:tc>
      </w:tr>
      <w:tr>
        <w:tc>
          <w:tcPr>
            <w:tcW w:type="dxa" w:w="2484"/>
            <w:vAlign w:val="top"/>
          </w:tcPr>
          <w:p>
            <w:r>
              <w:t>Affinity Essence</w:t>
            </w:r>
          </w:p>
        </w:tc>
        <w:tc>
          <w:tcPr>
            <w:tcW w:type="dxa" w:w="2484"/>
            <w:vAlign w:val="top"/>
          </w:tcPr>
          <w:p>
            <w:r>
              <w:t>Carry forward with open substructure</w:t>
            </w:r>
          </w:p>
        </w:tc>
        <w:tc>
          <w:tcPr>
            <w:tcW w:type="dxa" w:w="2484"/>
            <w:vAlign w:val="top"/>
          </w:tcPr>
          <w:p>
            <w:r>
              <w:t>Catalyze/Synthesize role is locked; exact variant architecture remains unresolved.</w:t>
            </w:r>
          </w:p>
        </w:tc>
        <w:tc>
          <w:tcPr>
            <w:tcW w:type="dxa" w:w="2484"/>
            <w:vAlign w:val="top"/>
          </w:tcPr>
          <w:p>
            <w:r>
              <w:t>Mixed</w:t>
            </w:r>
          </w:p>
        </w:tc>
      </w:tr>
      <w:tr>
        <w:tc>
          <w:tcPr>
            <w:tcW w:type="dxa" w:w="2484"/>
            <w:vAlign w:val="top"/>
          </w:tcPr>
          <w:p>
            <w:r>
              <w:t>Resonance Synthesizer / Chamber</w:t>
            </w:r>
          </w:p>
        </w:tc>
        <w:tc>
          <w:tcPr>
            <w:tcW w:type="dxa" w:w="2484"/>
            <w:vAlign w:val="top"/>
          </w:tcPr>
          <w:p>
            <w:r>
              <w:t>Revisit</w:t>
            </w:r>
          </w:p>
        </w:tc>
        <w:tc>
          <w:tcPr>
            <w:tcW w:type="dxa" w:w="2484"/>
            <w:vAlign w:val="top"/>
          </w:tcPr>
          <w:p>
            <w:r>
              <w:t>Two independent names may describe one machine or a tiered system.</w:t>
            </w:r>
          </w:p>
        </w:tc>
        <w:tc>
          <w:tcPr>
            <w:tcW w:type="dxa" w:w="2484"/>
            <w:vAlign w:val="top"/>
          </w:tcPr>
          <w:p>
            <w:r>
              <w:t>Unresolved</w:t>
            </w:r>
          </w:p>
        </w:tc>
      </w:tr>
      <w:tr>
        <w:tc>
          <w:tcPr>
            <w:tcW w:type="dxa" w:w="2484"/>
            <w:vAlign w:val="top"/>
          </w:tcPr>
          <w:p>
            <w:r>
              <w:t>Skill Tree specialization</w:t>
            </w:r>
          </w:p>
        </w:tc>
        <w:tc>
          <w:tcPr>
            <w:tcW w:type="dxa" w:w="2484"/>
            <w:vAlign w:val="top"/>
          </w:tcPr>
          <w:p>
            <w:r>
              <w:t>Revisit as recovered design</w:t>
            </w:r>
          </w:p>
        </w:tc>
        <w:tc>
          <w:tcPr>
            <w:tcW w:type="dxa" w:w="2484"/>
            <w:vAlign w:val="top"/>
          </w:tcPr>
          <w:p>
            <w:r>
              <w:t>Detailed branch system was found in an explicitly unintegrated sweep; cross-check against Part 11 before canonizing.</w:t>
            </w:r>
          </w:p>
        </w:tc>
        <w:tc>
          <w:tcPr>
            <w:tcW w:type="dxa" w:w="2484"/>
            <w:vAlign w:val="top"/>
          </w:tcPr>
          <w:p>
            <w:r>
              <w:t>Strong candidate / not automatically locked</w:t>
            </w:r>
          </w:p>
        </w:tc>
      </w:tr>
      <w:tr>
        <w:tc>
          <w:tcPr>
            <w:tcW w:type="dxa" w:w="2484"/>
            <w:vAlign w:val="top"/>
          </w:tcPr>
          <w:p>
            <w:r>
              <w:t>Boss / danger-tier philosophy</w:t>
            </w:r>
          </w:p>
        </w:tc>
        <w:tc>
          <w:tcPr>
            <w:tcW w:type="dxa" w:w="2484"/>
            <w:vAlign w:val="top"/>
          </w:tcPr>
          <w:p>
            <w:r>
              <w:t>Revisit</w:t>
            </w:r>
          </w:p>
        </w:tc>
        <w:tc>
          <w:tcPr>
            <w:tcW w:type="dxa" w:w="2484"/>
            <w:vAlign w:val="top"/>
          </w:tcPr>
          <w:p>
            <w:r>
              <w:t>Recovered as design philosophy; not clearly a final implementation decision.</w:t>
            </w:r>
          </w:p>
        </w:tc>
        <w:tc>
          <w:tcPr>
            <w:tcW w:type="dxa" w:w="2484"/>
            <w:vAlign w:val="top"/>
          </w:tcPr>
          <w:p>
            <w:r>
              <w:t>Proposal</w:t>
            </w:r>
          </w:p>
        </w:tc>
      </w:tr>
      <w:tr>
        <w:tc>
          <w:tcPr>
            <w:tcW w:type="dxa" w:w="2484"/>
            <w:vAlign w:val="top"/>
          </w:tcPr>
          <w:p>
            <w:r>
              <w:t>Paradox encounter philosophy</w:t>
            </w:r>
          </w:p>
        </w:tc>
        <w:tc>
          <w:tcPr>
            <w:tcW w:type="dxa" w:w="2484"/>
            <w:vAlign w:val="top"/>
          </w:tcPr>
          <w:p>
            <w:r>
              <w:t>Revisit</w:t>
            </w:r>
          </w:p>
        </w:tc>
        <w:tc>
          <w:tcPr>
            <w:tcW w:type="dxa" w:w="2484"/>
            <w:vAlign w:val="top"/>
          </w:tcPr>
          <w:p>
            <w:r>
              <w:t>Recovered as a dedicated encounter philosophy distinct from other anomaly classes.</w:t>
            </w:r>
          </w:p>
        </w:tc>
        <w:tc>
          <w:tcPr>
            <w:tcW w:type="dxa" w:w="2484"/>
            <w:vAlign w:val="top"/>
          </w:tcPr>
          <w:p>
            <w:r>
              <w:t>Proposal</w:t>
            </w:r>
          </w:p>
        </w:tc>
      </w:tr>
      <w:tr>
        <w:tc>
          <w:tcPr>
            <w:tcW w:type="dxa" w:w="2484"/>
            <w:vAlign w:val="top"/>
          </w:tcPr>
          <w:p>
            <w:r>
              <w:t>Ditto Synthesis</w:t>
            </w:r>
          </w:p>
        </w:tc>
        <w:tc>
          <w:tcPr>
            <w:tcW w:type="dxa" w:w="2484"/>
            <w:vAlign w:val="top"/>
          </w:tcPr>
          <w:p>
            <w:r>
              <w:t>Revisit</w:t>
            </w:r>
          </w:p>
        </w:tc>
        <w:tc>
          <w:tcPr>
            <w:tcW w:type="dxa" w:w="2484"/>
            <w:vAlign w:val="top"/>
          </w:tcPr>
          <w:p>
            <w:r>
              <w:t>Recovered special-case Fusion outcome with explicit legendary exclusion.</w:t>
            </w:r>
          </w:p>
        </w:tc>
        <w:tc>
          <w:tcPr>
            <w:tcW w:type="dxa" w:w="2484"/>
            <w:vAlign w:val="top"/>
          </w:tcPr>
          <w:p>
            <w:r>
              <w:t>Proposal</w:t>
            </w:r>
          </w:p>
        </w:tc>
      </w:tr>
      <w:tr>
        <w:tc>
          <w:tcPr>
            <w:tcW w:type="dxa" w:w="2484"/>
            <w:vAlign w:val="top"/>
          </w:tcPr>
          <w:p>
            <w:r>
              <w:t>Crafting-removal / Create backbone</w:t>
            </w:r>
          </w:p>
        </w:tc>
        <w:tc>
          <w:tcPr>
            <w:tcW w:type="dxa" w:w="2484"/>
            <w:vAlign w:val="top"/>
          </w:tcPr>
          <w:p>
            <w:r>
              <w:t>Revisit</w:t>
            </w:r>
          </w:p>
        </w:tc>
        <w:tc>
          <w:tcPr>
            <w:tcW w:type="dxa" w:w="2484"/>
            <w:vAlign w:val="top"/>
          </w:tcPr>
          <w:p>
            <w:r>
              <w:t>Strong production philosophy, but implementation/mod decisions must be reconciled against M.M.I.</w:t>
            </w:r>
          </w:p>
        </w:tc>
        <w:tc>
          <w:tcPr>
            <w:tcW w:type="dxa" w:w="2484"/>
            <w:vAlign w:val="top"/>
          </w:tcPr>
          <w:p>
            <w:r>
              <w:t>Proposal</w:t>
            </w:r>
          </w:p>
        </w:tc>
      </w:tr>
      <w:tr>
        <w:tc>
          <w:tcPr>
            <w:tcW w:type="dxa" w:w="2484"/>
            <w:vAlign w:val="top"/>
          </w:tcPr>
          <w:p>
            <w:r>
              <w:t>Landmark Build Guides</w:t>
            </w:r>
          </w:p>
        </w:tc>
        <w:tc>
          <w:tcPr>
            <w:tcW w:type="dxa" w:w="2484"/>
            <w:vAlign w:val="top"/>
          </w:tcPr>
          <w:p>
            <w:r>
              <w:t>Carry forward as build evidence</w:t>
            </w:r>
          </w:p>
        </w:tc>
        <w:tc>
          <w:tcPr>
            <w:tcW w:type="dxa" w:w="2484"/>
            <w:vAlign w:val="top"/>
          </w:tcPr>
          <w:p>
            <w:r>
              <w:t>Already integrated into Part 17 according to reconciliation record.</w:t>
            </w:r>
          </w:p>
        </w:tc>
        <w:tc>
          <w:tcPr>
            <w:tcW w:type="dxa" w:w="2484"/>
            <w:vAlign w:val="top"/>
          </w:tcPr>
          <w:p>
            <w:r>
              <w:t>Integrated</w:t>
            </w:r>
          </w:p>
        </w:tc>
      </w:tr>
      <w:tr>
        <w:tc>
          <w:tcPr>
            <w:tcW w:type="dxa" w:w="2484"/>
            <w:vAlign w:val="top"/>
          </w:tcPr>
          <w:p>
            <w:r>
              <w:t>Observatory variants</w:t>
            </w:r>
          </w:p>
        </w:tc>
        <w:tc>
          <w:tcPr>
            <w:tcW w:type="dxa" w:w="2484"/>
            <w:vAlign w:val="top"/>
          </w:tcPr>
          <w:p>
            <w:r>
              <w:t>Archive alternatives</w:t>
            </w:r>
          </w:p>
        </w:tc>
        <w:tc>
          <w:tcPr>
            <w:tcW w:type="dxa" w:w="2484"/>
            <w:vAlign w:val="top"/>
          </w:tcPr>
          <w:p>
            <w:r>
              <w:t>Multiple visual variants remain alternatives, not one canonical geometry.</w:t>
            </w:r>
          </w:p>
        </w:tc>
        <w:tc>
          <w:tcPr>
            <w:tcW w:type="dxa" w:w="2484"/>
            <w:vAlign w:val="top"/>
          </w:tcPr>
          <w:p>
            <w:r>
              <w:t>Unresolved / variant set</w:t>
            </w:r>
          </w:p>
        </w:tc>
      </w:tr>
      <w:tr>
        <w:tc>
          <w:tcPr>
            <w:tcW w:type="dxa" w:w="2484"/>
            <w:vAlign w:val="top"/>
          </w:tcPr>
          <w:p>
            <w:r>
              <w:t>NPC/faction infrastructure</w:t>
            </w:r>
          </w:p>
        </w:tc>
        <w:tc>
          <w:tcPr>
            <w:tcW w:type="dxa" w:w="2484"/>
            <w:vAlign w:val="top"/>
          </w:tcPr>
          <w:p>
            <w:r>
              <w:t>Reconcile implementation layer</w:t>
            </w:r>
          </w:p>
        </w:tc>
        <w:tc>
          <w:tcPr>
            <w:tcW w:type="dxa" w:w="2484"/>
            <w:vAlign w:val="top"/>
          </w:tcPr>
          <w:p>
            <w:r>
              <w:t>Design exists and later technical candidates improved; custom-vs-mod boundary needs one final pass.</w:t>
            </w:r>
          </w:p>
        </w:tc>
        <w:tc>
          <w:tcPr>
            <w:tcW w:type="dxa" w:w="2484"/>
            <w:vAlign w:val="top"/>
          </w:tcPr>
          <w:p>
            <w:r>
              <w:t>Mixed</w:t>
            </w:r>
          </w:p>
        </w:tc>
      </w:tr>
      <w:tr>
        <w:tc>
          <w:tcPr>
            <w:tcW w:type="dxa" w:w="2484"/>
            <w:vAlign w:val="top"/>
          </w:tcPr>
          <w:p>
            <w:r>
              <w:t>Dynamic population tracking</w:t>
            </w:r>
          </w:p>
        </w:tc>
        <w:tc>
          <w:tcPr>
            <w:tcW w:type="dxa" w:w="2484"/>
            <w:vAlign w:val="top"/>
          </w:tcPr>
          <w:p>
            <w:r>
              <w:t>Revisit</w:t>
            </w:r>
          </w:p>
        </w:tc>
        <w:tc>
          <w:tcPr>
            <w:tcW w:type="dxa" w:w="2484"/>
            <w:vAlign w:val="top"/>
          </w:tcPr>
          <w:p>
            <w:r>
              <w:t>Explicitly remains unresolved even though ecological roles/reintroduction are developed.</w:t>
            </w:r>
          </w:p>
        </w:tc>
        <w:tc>
          <w:tcPr>
            <w:tcW w:type="dxa" w:w="2484"/>
            <w:vAlign w:val="top"/>
          </w:tcPr>
          <w:p>
            <w:r>
              <w:t>Open</w:t>
            </w:r>
          </w:p>
        </w:tc>
      </w:tr>
    </w:tbl>
    <w:p>
      <w:pPr>
        <w:pStyle w:val="Heading1"/>
      </w:pPr>
      <w:r>
        <w:t>What the new canon should NOT do</w:t>
      </w:r>
    </w:p>
    <w:p>
      <w:pPr>
        <w:pStyle w:val="ListBullet"/>
      </w:pPr>
      <w:r>
        <w:t>Do not renumber or rewrite the old CLR history merely to make it look cleaner.</w:t>
      </w:r>
    </w:p>
    <w:p>
      <w:pPr>
        <w:pStyle w:val="ListBullet"/>
      </w:pPr>
      <w:r>
        <w:t>Do not merge concepts just because they use the same word (e.g., Catalyst, Core, Resonance).</w:t>
      </w:r>
    </w:p>
    <w:p>
      <w:pPr>
        <w:pStyle w:val="ListBullet"/>
      </w:pPr>
      <w:r>
        <w:t>Do not preserve every Master Archive part as a canonical document boundary.</w:t>
      </w:r>
    </w:p>
    <w:p>
      <w:pPr>
        <w:pStyle w:val="ListBullet"/>
      </w:pPr>
      <w:r>
        <w:t>Do not turn every proposal into a locked feature.</w:t>
      </w:r>
    </w:p>
    <w:p>
      <w:pPr>
        <w:pStyle w:val="ListBullet"/>
      </w:pPr>
      <w:r>
        <w:t>Do not discard superseded terminology; retain it in lineage metadata so future searches can find it.</w:t>
      </w:r>
    </w:p>
    <w:p>
      <w:pPr>
        <w:pStyle w:val="ListBullet"/>
      </w:pPr>
      <w:r>
        <w:t>Do not use duplicate copies as independent evidence.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