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— Project Constitution &amp; Governance</w:t>
      </w:r>
    </w:p>
    <w:p>
      <w:pPr>
        <w:jc w:val="center"/>
      </w:pPr>
      <w:r>
        <w:rPr>
          <w:i/>
        </w:rPr>
        <w:t>Canonical foundation reconstructed from surviving governance material</w:t>
      </w:r>
    </w:p>
    <w:p>
      <w:pPr>
        <w:pStyle w:val="Heading1"/>
      </w:pPr>
      <w:r>
        <w:t>1. Purpose</w:t>
      </w:r>
    </w:p>
    <w:p>
      <w:r>
        <w:t>C.E.R. is reconstructed as a coherent Minecraft/Cobblemon experience whose design is governed by explicit provenance, status, and change tracking. The canonical layer describes the current system; the historical layer preserves how the system developed.</w:t>
      </w:r>
    </w:p>
    <w:p>
      <w:pPr>
        <w:pStyle w:val="Heading1"/>
      </w:pPr>
      <w:r>
        <w:t>2. Archive preservation</w:t>
      </w:r>
    </w:p>
    <w:p>
      <w:pPr>
        <w:pStyle w:val="ListBullet"/>
      </w:pPr>
      <w:r>
        <w:t>Nothing is deleted because it is superseded, rejected, or historical.</w:t>
      </w:r>
    </w:p>
    <w:p>
      <w:pPr>
        <w:pStyle w:val="ListBullet"/>
      </w:pPr>
      <w:r>
        <w:t>Historical material is prevented from silently re-entering canon by explicit status labels and terminology lineage.</w:t>
      </w:r>
    </w:p>
    <w:p>
      <w:pPr>
        <w:pStyle w:val="ListBullet"/>
      </w:pPr>
      <w:r>
        <w:t>Duplicate current descriptions may be consolidated, but provenance remains recoverable.</w:t>
      </w:r>
    </w:p>
    <w:p>
      <w:pPr>
        <w:pStyle w:val="Heading1"/>
      </w:pPr>
      <w:r>
        <w:t>3. Delegated reconstruction authority</w:t>
      </w:r>
    </w:p>
    <w:p>
      <w:r>
        <w:t>The surviving governance protocol establishes Free Reign Mode (F.R.M.) as a delegated working framework: permitted reconstruction actions may be taken without repeated permission, but locked human decisions are not silently overridden and meaningful actions are logged.</w:t>
      </w:r>
    </w:p>
    <w:p>
      <w:pPr>
        <w:pStyle w:val="Heading1"/>
      </w:pPr>
      <w:r>
        <w:t>4. Change Log discipline</w:t>
      </w:r>
    </w:p>
    <w:p>
      <w:r>
        <w:t>The historical Change Log is treated as an evidence record. Past entries are never rewritten to make history cleaner. If a decision changes, the later decision is a new record that cross-references the earlier one. The surviving log currently reaches CLR-0131 according to the reconstruction materials.</w:t>
      </w:r>
    </w:p>
    <w:p>
      <w:pPr>
        <w:pStyle w:val="Heading1"/>
      </w:pPr>
      <w:r>
        <w:t>5. Canonical reconstruction rules</w:t>
      </w:r>
    </w:p>
    <w:p>
      <w:pPr>
        <w:pStyle w:val="ListBullet"/>
      </w:pPr>
      <w:r>
        <w:t>Separate identity from document placement.</w:t>
      </w:r>
    </w:p>
    <w:p>
      <w:pPr>
        <w:pStyle w:val="ListBullet"/>
      </w:pPr>
      <w:r>
        <w:t>Separate permanent state from dynamic expression.</w:t>
      </w:r>
    </w:p>
    <w:p>
      <w:pPr>
        <w:pStyle w:val="ListBullet"/>
      </w:pPr>
      <w:r>
        <w:t>Treat classifications as independent axes unless evidence explicitly makes them hierarchical.</w:t>
      </w:r>
    </w:p>
    <w:p>
      <w:pPr>
        <w:pStyle w:val="ListBullet"/>
      </w:pPr>
      <w:r>
        <w:t>Do not convert proposals into canon through repetition.</w:t>
      </w:r>
    </w:p>
    <w:p>
      <w:pPr>
        <w:pStyle w:val="ListBullet"/>
      </w:pPr>
      <w:r>
        <w:t>When evidence is insufficient, preserve the unresolved state.</w:t>
      </w:r>
    </w:p>
    <w:p>
      <w:pPr>
        <w:pStyle w:val="ListBullet"/>
      </w:pPr>
      <w:r>
        <w:t>When two names describe the same underlying concept, retain lineage while assigning one current term.</w:t>
      </w:r>
    </w:p>
    <w:p>
      <w:pPr>
        <w:pStyle w:val="ListBullet"/>
      </w:pPr>
      <w:r>
        <w:t>When similar names represent different concepts, keep them separate.</w:t>
      </w:r>
    </w:p>
    <w:p>
      <w:pPr>
        <w:pStyle w:val="Heading1"/>
      </w:pPr>
      <w:r>
        <w:t>6. Technical/documentation boundary</w:t>
      </w:r>
    </w:p>
    <w:p>
      <w:r>
        <w:t>Lore, mechanics, taxonomy, progression, and technical implementation are related but are not the same layer. Native Cobblemon behavior and custom C.E.R. behavior must remain distinguishable in implementation documentation.</w:t>
      </w:r>
    </w:p>
    <w:p>
      <w:pPr>
        <w:pStyle w:val="Heading1"/>
      </w:pPr>
      <w:r>
        <w:t>7. Evidence basis</w:t>
      </w:r>
    </w:p>
    <w:p>
      <w:r>
        <w:t>Primary reconstruction sources include the Project Governance Protocol, Reconciliation Report, Change Log Archive, Authorities Archive, Interaction Archive, Supplemental Archive, Master Archive Parts 1–17, Cobblemon Deep Dive, and the surviving sweep/open-question documents in the September 2026 evidence package.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Project Constitution &amp; Governance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