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— Reconstruction Change Log</w:t>
      </w:r>
    </w:p>
    <w:p>
      <w:pPr>
        <w:jc w:val="center"/>
      </w:pPr>
      <w:r>
        <w:rPr>
          <w:i/>
        </w:rPr>
        <w:t>New reconstruction-layer entries; historical CLR-0001…CLR-0131 remains untouched</w:t>
      </w:r>
    </w:p>
    <w:p>
      <w:pPr>
        <w:pStyle w:val="Heading1"/>
      </w:pPr>
      <w:r>
        <w:t>Purpose</w:t>
      </w:r>
    </w:p>
    <w:p>
      <w:r>
        <w:t>This log records decisions made by the reconstruction pass itself. It does not replace or rewrite the historical Change Log Archive. The historical numbering remains the project-development record; this log records the new canonicalization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Type</w:t>
            </w:r>
          </w:p>
        </w:tc>
        <w:tc>
          <w:tcPr>
            <w:tcW w:type="dxa" w:w="1987"/>
          </w:tcPr>
          <w:p>
            <w:r>
              <w:t>Decision</w:t>
            </w:r>
          </w:p>
        </w:tc>
        <w:tc>
          <w:tcPr>
            <w:tcW w:type="dxa" w:w="1987"/>
          </w:tcPr>
          <w:p>
            <w:r>
              <w:t>Reason</w:t>
            </w:r>
          </w:p>
        </w:tc>
        <w:tc>
          <w:tcPr>
            <w:tcW w:type="dxa" w:w="1987"/>
          </w:tcPr>
          <w:p>
            <w:r>
              <w:t>Status</w:t>
            </w:r>
          </w:p>
        </w:tc>
      </w:tr>
      <w:tr>
        <w:tc>
          <w:tcPr>
            <w:tcW w:type="dxa" w:w="1987"/>
          </w:tcPr>
          <w:p>
            <w:r>
              <w:t>RCL-0001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Create system-oriented canonical documentation layer separate from historical 17-part archive.</w:t>
            </w:r>
          </w:p>
        </w:tc>
        <w:tc>
          <w:tcPr>
            <w:tcW w:type="dxa" w:w="1987"/>
          </w:tcPr>
          <w:p>
            <w:r>
              <w:t>Prevents reconstruction from reproducing historical document boundaries.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RCL-0002</w:t>
            </w:r>
          </w:p>
        </w:tc>
        <w:tc>
          <w:tcPr>
            <w:tcW w:type="dxa" w:w="1987"/>
          </w:tcPr>
          <w:p>
            <w:r>
              <w:t>RECLASSIFY</w:t>
            </w:r>
          </w:p>
        </w:tc>
        <w:tc>
          <w:tcPr>
            <w:tcW w:type="dxa" w:w="1987"/>
          </w:tcPr>
          <w:p>
            <w:r>
              <w:t>Treat Affinity and Resonance as permanent/dynamic layers rather than synonyms.</w:t>
            </w:r>
          </w:p>
        </w:tc>
        <w:tc>
          <w:tcPr>
            <w:tcW w:type="dxa" w:w="1987"/>
          </w:tcPr>
          <w:p>
            <w:r>
              <w:t>Resolves repeated cross-archive conflation.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RCL-0003</w:t>
            </w:r>
          </w:p>
        </w:tc>
        <w:tc>
          <w:tcPr>
            <w:tcW w:type="dxa" w:w="1987"/>
          </w:tcPr>
          <w:p>
            <w:r>
              <w:t>RECLASSIFY</w:t>
            </w:r>
          </w:p>
        </w:tc>
        <w:tc>
          <w:tcPr>
            <w:tcW w:type="dxa" w:w="1987"/>
          </w:tcPr>
          <w:p>
            <w:r>
              <w:t>Treat World Affinity and Trainer Affinity as related but distinct implementations of the permanent layer.</w:t>
            </w:r>
          </w:p>
        </w:tc>
        <w:tc>
          <w:tcPr>
            <w:tcW w:type="dxa" w:w="1987"/>
          </w:tcPr>
          <w:p>
            <w:r>
              <w:t>Preserves the two-domain architecture.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RCL-0004</w:t>
            </w:r>
          </w:p>
        </w:tc>
        <w:tc>
          <w:tcPr>
            <w:tcW w:type="dxa" w:w="1987"/>
          </w:tcPr>
          <w:p>
            <w:r>
              <w:t>RECLASSIFY</w:t>
            </w:r>
          </w:p>
        </w:tc>
        <w:tc>
          <w:tcPr>
            <w:tcW w:type="dxa" w:w="1987"/>
          </w:tcPr>
          <w:p>
            <w:r>
              <w:t>Treat Pokémon special categories as orthogonal axes rather than one universal hierarchy.</w:t>
            </w:r>
          </w:p>
        </w:tc>
        <w:tc>
          <w:tcPr>
            <w:tcW w:type="dxa" w:w="1987"/>
          </w:tcPr>
          <w:p>
            <w:r>
              <w:t>Matches the explicit Sept 2026 reconciliation in the archive.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RCL-0005</w:t>
            </w:r>
          </w:p>
        </w:tc>
        <w:tc>
          <w:tcPr>
            <w:tcW w:type="dxa" w:w="1987"/>
          </w:tcPr>
          <w:p>
            <w:r>
              <w:t>RECLASSIFY</w:t>
            </w:r>
          </w:p>
        </w:tc>
        <w:tc>
          <w:tcPr>
            <w:tcW w:type="dxa" w:w="1987"/>
          </w:tcPr>
          <w:p>
            <w:r>
              <w:t>Separate ecological significance (Apex/Titan) from phenotype (Alpha) and ecological condition (Distorted/Twisted).</w:t>
            </w:r>
          </w:p>
        </w:tc>
        <w:tc>
          <w:tcPr>
            <w:tcW w:type="dxa" w:w="1987"/>
          </w:tcPr>
          <w:p>
            <w:r>
              <w:t>Prevents taxonomy collapse.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RCL-0006</w:t>
            </w:r>
          </w:p>
        </w:tc>
        <w:tc>
          <w:tcPr>
            <w:tcW w:type="dxa" w:w="1987"/>
          </w:tcPr>
          <w:p>
            <w:r>
              <w:t>PROMOTION</w:t>
            </w:r>
          </w:p>
        </w:tc>
        <w:tc>
          <w:tcPr>
            <w:tcW w:type="dxa" w:w="1987"/>
          </w:tcPr>
          <w:p>
            <w:r>
              <w:t>Promote Restoration Engine to foundational system status.</w:t>
            </w:r>
          </w:p>
        </w:tc>
        <w:tc>
          <w:tcPr>
            <w:tcW w:type="dxa" w:w="1987"/>
          </w:tcPr>
          <w:p>
            <w:r>
              <w:t>It converts player activity into ecological/world-state consequences and underlies the restoration architecture.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RCL-0007</w:t>
            </w:r>
          </w:p>
        </w:tc>
        <w:tc>
          <w:tcPr>
            <w:tcW w:type="dxa" w:w="1987"/>
          </w:tcPr>
          <w:p>
            <w:r>
              <w:t>PROMOTION</w:t>
            </w:r>
          </w:p>
        </w:tc>
        <w:tc>
          <w:tcPr>
            <w:tcW w:type="dxa" w:w="1987"/>
          </w:tcPr>
          <w:p>
            <w:r>
              <w:t>Promote Research as a core progression philosophy/system.</w:t>
            </w:r>
          </w:p>
        </w:tc>
        <w:tc>
          <w:tcPr>
            <w:tcW w:type="dxa" w:w="1987"/>
          </w:tcPr>
          <w:p>
            <w:r>
              <w:t>Repeated archive evidence ties discovery, observation, knowledge, and progression together.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RCL-0008</w:t>
            </w:r>
          </w:p>
        </w:tc>
        <w:tc>
          <w:tcPr>
            <w:tcW w:type="dxa" w:w="1987"/>
          </w:tcPr>
          <w:p>
            <w:r>
              <w:t>RECLASSIFY</w:t>
            </w:r>
          </w:p>
        </w:tc>
        <w:tc>
          <w:tcPr>
            <w:tcW w:type="dxa" w:w="1987"/>
          </w:tcPr>
          <w:p>
            <w:r>
              <w:t>Keep later proposals—Replication Matter, Megastone Attunement, Specimen System, Boosters—outside canon pending explicit promotion.</w:t>
            </w:r>
          </w:p>
        </w:tc>
        <w:tc>
          <w:tcPr>
            <w:tcW w:type="dxa" w:w="1987"/>
          </w:tcPr>
          <w:p>
            <w:r>
              <w:t>Detailed proposals are not automatically locked decisions.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RCL-0009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Create explicit proposal/unresolved quarantine document.</w:t>
            </w:r>
          </w:p>
        </w:tc>
        <w:tc>
          <w:tcPr>
            <w:tcW w:type="dxa" w:w="1987"/>
          </w:tcPr>
          <w:p>
            <w:r>
              <w:t>Prevents promising ideas from being lost while preserving canon discipline.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  <w:tr>
        <w:tc>
          <w:tcPr>
            <w:tcW w:type="dxa" w:w="1987"/>
          </w:tcPr>
          <w:p>
            <w:r>
              <w:t>RCL-0010</w:t>
            </w:r>
          </w:p>
        </w:tc>
        <w:tc>
          <w:tcPr>
            <w:tcW w:type="dxa" w:w="1987"/>
          </w:tcPr>
          <w:p>
            <w:r>
              <w:t>ADD</w:t>
            </w:r>
          </w:p>
        </w:tc>
        <w:tc>
          <w:tcPr>
            <w:tcW w:type="dxa" w:w="1987"/>
          </w:tcPr>
          <w:p>
            <w:r>
              <w:t>Preserve historical 17-part archive as evidence layer.</w:t>
            </w:r>
          </w:p>
        </w:tc>
        <w:tc>
          <w:tcPr>
            <w:tcW w:type="dxa" w:w="1987"/>
          </w:tcPr>
          <w:p>
            <w:r>
              <w:t>Governance protocol requires historical preservation and provenance.</w:t>
            </w:r>
          </w:p>
        </w:tc>
        <w:tc>
          <w:tcPr>
            <w:tcW w:type="dxa" w:w="1987"/>
          </w:tcPr>
          <w:p>
            <w:r>
              <w:t>Current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Change Log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