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Constitution &amp; Governance</w:t>
      </w:r>
    </w:p>
    <w:p>
      <w:pPr>
        <w:jc w:val="center"/>
      </w:pPr>
      <w:r>
        <w:t>Reconstructed from the Authorities Archive and related project-governance material.</w:t>
      </w:r>
    </w:p>
    <w:p/>
    <w:p>
      <w:pPr>
        <w:pStyle w:val="Heading1"/>
      </w:pPr>
      <w:r>
        <w:t>Core governance</w:t>
      </w:r>
    </w:p>
    <w:p>
      <w:r>
        <w:t>The Authorities Archive describes Free Reign Mode (F.R.M.) as a project-level framework granting broad authority to archive, approve, veto, modify, defer, merge/split systems, propose implementation architecture, resurrect discarded ideas, run sweeps/audits, create and integrate terms, make proactive suggestions, research external references, categorize, cross-reference, and maintain provenance.</w:t>
      </w:r>
    </w:p>
    <w:p>
      <w:pPr>
        <w:pStyle w:val="Heading1"/>
      </w:pPr>
      <w:r>
        <w:t>Decision standard</w:t>
      </w:r>
    </w:p>
    <w:p>
      <w:r>
        <w:t>The documented standard is whether a change makes E.R. better, while locked decisions act as a ceiling rather than something to silently override. Logging is treated as non-negotiable for F.R.M. actions.</w:t>
      </w:r>
    </w:p>
    <w:p>
      <w:pPr>
        <w:pStyle w:val="Heading1"/>
      </w:pPr>
      <w:r>
        <w:t>Evidence discipline</w:t>
      </w:r>
    </w:p>
    <w:p>
      <w:r>
        <w:t>Historical proposals are not promoted to canon merely because they are detailed. Conflicts and naming collisions are retained until supported by evidence or an explicit decision.</w:t>
      </w:r>
    </w:p>
    <w:p>
      <w:pPr>
        <w:pStyle w:val="Heading1"/>
      </w:pPr>
      <w:r>
        <w:t>Mod integration principle</w:t>
      </w:r>
    </w:p>
    <w:p>
      <w:r>
        <w:t>The Master Mod Index records status separately from the reasons in the Master Archive. Confirmed systems are added to the confirmed section as a standing process. Integration depth is tiered to prevent unrelated Affinity triggers from accumulating into an incoherent system.</w:t>
      </w:r>
    </w:p>
    <w:p>
      <w:pPr>
        <w:pStyle w:val="Heading1"/>
      </w:pPr>
      <w:r>
        <w:t>Reconstruction rule</w:t>
      </w:r>
    </w:p>
    <w:p>
      <w:r>
        <w:t>Where the source corpus does not establish a final answer, this package preserves the unresolved state rather than inventing a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Constitution &amp; Governance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