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Proposal &amp; Unresolved Register</w:t>
      </w:r>
    </w:p>
    <w:p>
      <w:pPr>
        <w:jc w:val="center"/>
      </w:pPr>
      <w:r>
        <w:t>Explicitly non-canonical layer: unresolved questions, proposed solutions, and historical alternatives retained for decision.</w:t>
      </w:r>
    </w:p>
    <w:p/>
    <w:p>
      <w:pPr>
        <w:pStyle w:val="Heading1"/>
      </w:pPr>
      <w:r>
        <w:t>Confirmed unresolved items</w:t>
      </w:r>
    </w:p>
    <w:p>
      <w:pPr>
        <w:pStyle w:val="ListBullet"/>
      </w:pPr>
      <w:r>
        <w:t>Fusion dynamic-generation fallback: anchor-model + partner-texture-blend</w:t>
      </w:r>
    </w:p>
    <w:p>
      <w:pPr>
        <w:pStyle w:val="ListBullet"/>
      </w:pPr>
      <w:r>
        <w:t>Resonance Synthesizer vs. Resonance Synthesis Chamber naming</w:t>
      </w:r>
    </w:p>
    <w:p>
      <w:pPr>
        <w:pStyle w:val="ListBullet"/>
      </w:pPr>
      <w:r>
        <w:t>Exact final numbers for Heart progression</w:t>
      </w:r>
    </w:p>
    <w:p>
      <w:pPr>
        <w:pStyle w:val="ListBullet"/>
      </w:pPr>
      <w:r>
        <w:t>Final Virtue extraction/definition</w:t>
      </w:r>
    </w:p>
    <w:p>
      <w:pPr>
        <w:pStyle w:val="ListBullet"/>
      </w:pPr>
      <w:r>
        <w:t>Exact ecology formulas and thresholds</w:t>
      </w:r>
    </w:p>
    <w:p>
      <w:pPr>
        <w:pStyle w:val="ListBullet"/>
      </w:pPr>
      <w:r>
        <w:t>Final treatment of Replication Matter, Specimen, Megastone Attunement, and Blank Keystone</w:t>
      </w:r>
    </w:p>
    <w:p>
      <w:pPr>
        <w:pStyle w:val="Heading1"/>
      </w:pPr>
      <w:r>
        <w:t>Offered but not confirmed</w:t>
      </w:r>
    </w:p>
    <w:p>
      <w:pPr>
        <w:pStyle w:val="ListBullet"/>
      </w:pPr>
      <w:r>
        <w:t>Formal Implementation Milestone document for the first buildable vertical slice</w:t>
      </w:r>
    </w:p>
    <w:p>
      <w:pPr>
        <w:pStyle w:val="ListBullet"/>
      </w:pPr>
      <w:r>
        <w:t>Full feature-by-feature Cobblemon Integration Bible</w:t>
      </w:r>
    </w:p>
    <w:p>
      <w:pPr>
        <w:pStyle w:val="Heading1"/>
      </w:pPr>
      <w:r>
        <w:t>Historical proposals that must not auto-promote</w:t>
      </w:r>
    </w:p>
    <w:p>
      <w:pPr>
        <w:pStyle w:val="ListBullet"/>
      </w:pPr>
      <w:r>
        <w:t>Observatory Variant C</w:t>
      </w:r>
    </w:p>
    <w:p>
      <w:pPr>
        <w:pStyle w:val="ListBullet"/>
      </w:pPr>
      <w:r>
        <w:t>Ecological Census</w:t>
      </w:r>
    </w:p>
    <w:p>
      <w:pPr>
        <w:pStyle w:val="ListBullet"/>
      </w:pPr>
      <w:r>
        <w:t>Boosters and similar later ideas unless independently confirmed</w:t>
      </w:r>
    </w:p>
    <w:p>
      <w:pPr>
        <w:pStyle w:val="ListBullet"/>
      </w:pPr>
      <w:r>
        <w:t>Any numeric table explicitly marked illustrative in the archive</w:t>
      </w:r>
    </w:p>
    <w:p>
      <w:pPr>
        <w:pStyle w:val="Heading1"/>
      </w:pPr>
      <w:r>
        <w:t>Handling rule</w:t>
      </w:r>
    </w:p>
    <w:p>
      <w:r>
        <w:t>This register exists so unresolved ideas remain visible without being mistaken for locked canon. A later decision can promote, modify, split, merge, or retire an entry with provenance.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&amp; Unresolved Register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