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Concept &amp; Entity Register</w:t>
      </w:r>
    </w:p>
    <w:p>
      <w:pPr>
        <w:jc w:val="center"/>
      </w:pPr>
      <w:r>
        <w:t>First-pass system/entity register reconstructed from the supplied material.</w:t>
      </w:r>
    </w:p>
    <w:p/>
    <w:p>
      <w:pPr>
        <w:pStyle w:val="Heading1"/>
      </w:pPr>
      <w:r>
        <w:t>Purpose</w:t>
      </w:r>
    </w:p>
    <w:p>
      <w:r>
        <w:t>Collapses the archive into concepts and entities rather than documents.</w:t>
      </w:r>
    </w:p>
    <w:p>
      <w:pPr>
        <w:pStyle w:val="Heading1"/>
      </w:pPr>
      <w:r>
        <w:t>Recovered major entities</w:t>
      </w:r>
    </w:p>
    <w:p>
      <w:pPr>
        <w:pStyle w:val="ListBullet"/>
      </w:pPr>
      <w:r>
        <w:t>Genesect Drives</w:t>
      </w:r>
    </w:p>
    <w:p>
      <w:pPr>
        <w:pStyle w:val="ListBullet"/>
      </w:pPr>
      <w:r>
        <w:t>Resonance Drives</w:t>
      </w:r>
    </w:p>
    <w:p>
      <w:pPr>
        <w:pStyle w:val="ListBullet"/>
      </w:pPr>
      <w:r>
        <w:t>Affinity Essence</w:t>
      </w:r>
    </w:p>
    <w:p>
      <w:pPr>
        <w:pStyle w:val="ListBullet"/>
      </w:pPr>
      <w:r>
        <w:t>Affinity Catalyst</w:t>
      </w:r>
    </w:p>
    <w:p>
      <w:pPr>
        <w:pStyle w:val="ListBullet"/>
      </w:pPr>
      <w:r>
        <w:t>Resonance Synthesizer</w:t>
      </w:r>
    </w:p>
    <w:p>
      <w:pPr>
        <w:pStyle w:val="ListBullet"/>
      </w:pPr>
      <w:r>
        <w:t>Resonance Synthesis Chamber</w:t>
      </w:r>
    </w:p>
    <w:p>
      <w:pPr>
        <w:pStyle w:val="ListBullet"/>
      </w:pPr>
      <w:r>
        <w:t>Noble Pokémon</w:t>
      </w:r>
    </w:p>
    <w:p>
      <w:pPr>
        <w:pStyle w:val="ListBullet"/>
      </w:pPr>
      <w:r>
        <w:t>Legendary Recognition/Domain</w:t>
      </w:r>
    </w:p>
    <w:p>
      <w:pPr>
        <w:pStyle w:val="ListBullet"/>
      </w:pPr>
      <w:r>
        <w:t>Affinity Observatory</w:t>
      </w:r>
    </w:p>
    <w:p>
      <w:pPr>
        <w:pStyle w:val="ListBullet"/>
      </w:pPr>
      <w:r>
        <w:t>Restoration Observatory</w:t>
      </w:r>
    </w:p>
    <w:p>
      <w:pPr>
        <w:pStyle w:val="ListBullet"/>
      </w:pPr>
      <w:r>
        <w:t>Ecological Roles</w:t>
      </w:r>
    </w:p>
    <w:p>
      <w:pPr>
        <w:pStyle w:val="ListBullet"/>
      </w:pPr>
      <w:r>
        <w:t>Dynamic Population Tracking</w:t>
      </w:r>
    </w:p>
    <w:p>
      <w:pPr>
        <w:pStyle w:val="ListBullet"/>
      </w:pPr>
      <w:r>
        <w:t>Replication Matter</w:t>
      </w:r>
    </w:p>
    <w:p>
      <w:pPr>
        <w:pStyle w:val="ListBullet"/>
      </w:pPr>
      <w:r>
        <w:t>Specimen System</w:t>
      </w:r>
    </w:p>
    <w:p>
      <w:pPr>
        <w:pStyle w:val="ListBullet"/>
      </w:pPr>
      <w:r>
        <w:t>Megastone Attunement</w:t>
      </w:r>
    </w:p>
    <w:p>
      <w:pPr>
        <w:pStyle w:val="ListBullet"/>
      </w:pPr>
      <w:r>
        <w:t>Blank Keystone</w:t>
      </w:r>
    </w:p>
    <w:p>
      <w:pPr>
        <w:pStyle w:val="Heading1"/>
      </w:pPr>
      <w:r>
        <w:t>Status</w:t>
      </w:r>
    </w:p>
    <w:p>
      <w:r>
        <w:t>These entries are architectural anchors; unresolved distinctions remain explicitly unresolved.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&amp; Entity Register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