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COBBLEMON: ECOLOGICAL RESONANCE — MASTER ARCHIVE</w:t>
      </w:r>
    </w:p>
    <w:p>
      <w:pPr>
        <w:jc w:val="center"/>
      </w:pPr>
      <w:r>
        <w:rPr>
          <w:i/>
          <w:sz w:val="24"/>
        </w:rPr>
        <w:t>Phase I — Genesis, Core Vision &amp; Recovered Systems</w:t>
      </w:r>
    </w:p>
    <w:p/>
    <w:p>
      <w:r>
        <w:t>This is a Phase I working reconstruction of the Cobblemon: Ecological Resonance archive. Historical material is preserved before canonical status is assigned. Nothing is treated as canon merely because it appears earlier in a source document, and uncertainty is preserved rather than invented.</w:t>
      </w:r>
    </w:p>
    <w:p>
      <w:pPr>
        <w:pStyle w:val="Heading1"/>
      </w:pPr>
      <w:r>
        <w:t>Reconstruction Charter</w:t>
      </w:r>
    </w:p>
    <w:p>
      <w:r>
        <w:t>Status vocabulary: CANON = current E.R. design; PROVISIONAL = current direction not fully settled; HISTORICAL = genuine earlier idea; SUPERSEDED = replaced by later design; REJECTED = explicitly discarded; DORMANT = inactive but potentially reusable; CONTRADICTORY = conflicts with preserved material and requires resolution; UNRESOLVED = evidence exists but intent is unsettled; ARCHIVAL UNKNOWN = mentioned but insufficiently reconstructed.</w:t>
      </w:r>
    </w:p>
    <w:p>
      <w:pPr>
        <w:pStyle w:val="Heading1"/>
      </w:pPr>
      <w:r>
        <w:t>Project Identity</w:t>
      </w:r>
    </w:p>
    <w:p>
      <w:r>
        <w:t>Working title: Cobblemon: Ecological Resonance. The recovered material repeatedly converges on exploration, immersive quests, dynamic Pokémon spawning, Resonance, magic, technology, factions, unique Pokémon, 18 Affinities, and ecological restoration.</w:t>
      </w:r>
    </w:p>
    <w:p>
      <w:r>
        <w:t>Central fantasy: the world is not simply dead; it is damaged, dormant, and trying to heal. The player acts as an agent of ecological restoration. Pokémon, Resonance, exploration, research, and rebuilding participate in that restoration.</w:t>
      </w:r>
    </w:p>
    <w:p>
      <w:pPr>
        <w:pStyle w:val="Heading1"/>
      </w:pPr>
      <w:r>
        <w:t>Core Gameplay Loop</w:t>
      </w:r>
    </w:p>
    <w:p>
      <w:r>
        <w:t>Explore → discover → interact with Pokémon → generate/collect Resonance → restore ecosystems → unlock new Pokémon/ecological possibilities → explore further → restore more of the world.</w:t>
      </w:r>
    </w:p>
    <w:p>
      <w:pPr>
        <w:pStyle w:val="Heading1"/>
      </w:pPr>
      <w:r>
        <w:t>World Affinity</w:t>
      </w:r>
    </w:p>
    <w:p>
      <w:r>
        <w:t>The recovered design treats World Affinity as 18 independent affinities corresponding to the Pokémon types. It represents the world’s ecological relationship with each type rather than merely a player progression bar. Initial discussions place all 18 at 0. World Affinity can affect Pokémon spawning, ecological composition, environmental features, structures/infrastructure, resources, type-specific environmental expression, rarity/commonality, and ecological pressure between types.</w:t>
      </w:r>
    </w:p>
    <w:p>
      <w:r>
        <w:t>High affinity for one type was discussed as potentially suppressing Pokémon or ecological phenomena weak to that type. Affinity floors/refuges, decay/inertia, stabilizers, locks, automation, hidden World Balance, an Observatory interface, a Resonance Compass/Scanner, and Noble thresholds were discussed as system proposals; their canonical status requires further reconstruction.</w:t>
      </w:r>
    </w:p>
    <w:p>
      <w:pPr>
        <w:pStyle w:val="Heading1"/>
      </w:pPr>
      <w:r>
        <w:t>Restoration States</w:t>
      </w:r>
    </w:p>
    <w:p>
      <w:r>
        <w:t>A conceptual progression recovered from the archive is Dormant → Recovering → Stable → Flourishing → Resonant. The stated goal is visible and mechanical recovery rather than an instant transition to a perfect paradise.</w:t>
      </w:r>
    </w:p>
    <w:p>
      <w:pPr>
        <w:pStyle w:val="Heading1"/>
      </w:pPr>
      <w:r>
        <w:t>All 18 Types Matter</w:t>
      </w:r>
    </w:p>
    <w:p>
      <w:r>
        <w:t>The design explicitly resists becoming a system centered on only Grass, Water, and Fire. Each of the 18 types should have meaningful ecological expression. Grass examples included vegetation, forests, plant life, and ecological regrowth; Water examples included rivers, lakes, oceans, and aquatic ecosystems.</w:t>
      </w:r>
    </w:p>
    <w:p>
      <w:pPr>
        <w:pStyle w:val="Heading1"/>
      </w:pPr>
      <w:r>
        <w:t>The Living World</w:t>
      </w:r>
    </w:p>
    <w:p>
      <w:r>
        <w:t>A major long-term milestone discussed was all 18 affinities reaching 100%, provisionally associated with “The Living World,” at which point normal Cobblemon natural spawning could fully return. This should be treated as a recovered design milestone, not assumed final until the later archive evidence is reconciled.</w:t>
      </w:r>
    </w:p>
    <w:p>
      <w:pPr>
        <w:pStyle w:val="Heading1"/>
      </w:pPr>
      <w:r>
        <w:t>Design Principles</w:t>
      </w:r>
    </w:p>
    <w:p>
      <w:r>
        <w:t>C.O.C. — Creation Over Crafting. D.O.P. — Discovery Over Prescription. C.O.C. asks whether the player is actually creating something rather than merely following a crafting recipe. D.O.P. asks whether the player is discovering how the world works rather than simply following instructions.</w:t>
      </w:r>
    </w:p>
    <w:p>
      <w:pPr>
        <w:pStyle w:val="Heading1"/>
      </w:pPr>
      <w:r>
        <w:t>Pokémon / Resonance Architecture</w:t>
      </w:r>
    </w:p>
    <w:p>
      <w:r>
        <w:t>A major recovered distinction is that Affinity was discussed as separate from ordinary Pokémon typing, allowing a Pokémon’s normal type(s) to coexist with a separate ecological/resonance relationship. The archive also contains extensive historical work around Alpha Pokémon, forms/variants, Fakemon, Fusion, Shadow, Fractured, Dimensional, Temporal, Paradox, and other anomalies. These categories must be reconstructed as distinct systems rather than collapsed merely because they all modify Pokémon.</w:t>
      </w:r>
    </w:p>
    <w:p>
      <w:pPr>
        <w:pStyle w:val="Heading1"/>
      </w:pPr>
      <w:r>
        <w:t>Capture &amp; Preservation</w:t>
      </w:r>
    </w:p>
    <w:p>
      <w:r>
        <w:t>Resonance Ball → Attainment → Affinity Ball, 18 affinities, anomaly balls, treatments, World Affinity, and Personal/Trainer Affinity appear in recovered material. Retirement Protocol and Championship Protocol are related but intentionally opposite archival meanings: retirement preserves a Pokémon after an active journey ends, while championship preserves a victorious team as a historical honor.</w:t>
      </w:r>
    </w:p>
    <w:p>
      <w:pPr>
        <w:pStyle w:val="Heading1"/>
      </w:pPr>
      <w:r>
        <w:t>Recovered Championship Protocol</w:t>
      </w:r>
    </w:p>
    <w:p>
      <w:r>
        <w:t>After defeating the League Champion and becoming Champion, the current 1–6 Pokémon party was proposed to be placed temporarily into Occupied Pokéballs and ceremonially displayed on short white/quartz Roman-style pillars with gold trim, arranged around a central Champion monument. The ceremony represents preservation after triumph rather than permanent removal.</w:t>
      </w:r>
    </w:p>
    <w:p>
      <w:pPr>
        <w:pStyle w:val="Heading1"/>
      </w:pPr>
      <w:r>
        <w:t>Technical History</w:t>
      </w:r>
    </w:p>
    <w:p>
      <w:r>
        <w:t>The JavaScript/KubeJS material is treated as historical technical-development evidence, not automatically as verified current implementation. It contains proposed scripts, data structures, recipes, item logic, keybinds, affinity ranking concepts, and other implementation experiments. A generated script is not proof that the mechanic was successfully implemented.</w:t>
      </w:r>
    </w:p>
    <w:p>
      <w:pPr>
        <w:pStyle w:val="Heading1"/>
      </w:pPr>
      <w:r>
        <w:t>Source Provenance — Phase I</w:t>
      </w:r>
    </w:p>
    <w:p>
      <w:pPr>
        <w:pStyle w:val="ListBullet"/>
      </w:pPr>
      <w:r>
        <w:t>Archive source 1: Cobblemon Ecological Resonance Archive Reconstruction Plan, pt1</w:t>
      </w:r>
    </w:p>
    <w:p>
      <w:pPr>
        <w:pStyle w:val="ListBullet"/>
      </w:pPr>
      <w:r>
        <w:t>Archive source 2: Cobblemon Ecological Resonance Archive Reconstruction Plan, pt2</w:t>
      </w:r>
    </w:p>
    <w:p>
      <w:pPr>
        <w:pStyle w:val="ListBullet"/>
      </w:pPr>
      <w:r>
        <w:t>Archive source 3: Cobblemon Ecological Resonance Archive Reconstruction Plan, pt3</w:t>
      </w:r>
    </w:p>
    <w:p>
      <w:pPr>
        <w:pStyle w:val="ListBullet"/>
      </w:pPr>
      <w:r>
        <w:t>Technical source: Cobblemon EcoRe JavaScript example</w:t>
      </w:r>
    </w:p>
    <w:p>
      <w:r>
        <w:t>Chronology rule: source/document order is not treated as definitive project chronology. Internal conversation order is preserved; larger chronology is reconstructed from references, terminology, dependencies, revisions, and explicit statements. When chronology cannot be established confidently, the uncertainty remains documented.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