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COBBLEMON: ECOLOGICAL RESONANCE — INTERACTION ARCHIVE</w:t>
      </w:r>
    </w:p>
    <w:p>
      <w:pPr>
        <w:jc w:val="center"/>
      </w:pPr>
      <w:r>
        <w:rPr>
          <w:i/>
          <w:sz w:val="24"/>
        </w:rPr>
        <w:t>Phase I — Context, Origins &amp; Development Signals</w:t>
      </w:r>
    </w:p>
    <w:p/>
    <w:p>
      <w:r>
        <w:t>This is a Phase I working reconstruction of the Cobblemon: Ecological Resonance archive. Historical material is preserved before canonical status is assigned. Nothing is treated as canon merely because it appears earlier in a source document, and uncertainty is preserved rather than invented.</w:t>
      </w:r>
    </w:p>
    <w:p>
      <w:pPr>
        <w:pStyle w:val="Heading1"/>
      </w:pPr>
      <w:r>
        <w:t>Purpose</w:t>
      </w:r>
    </w:p>
    <w:p>
      <w:r>
        <w:t>This archive preserves project-relevant conversational context that does not itself define the project’s systems or governance but can explain how ideas arose, changed, or became meaningful.</w:t>
      </w:r>
    </w:p>
    <w:p>
      <w:pPr>
        <w:pStyle w:val="Heading1"/>
      </w:pPr>
      <w:r>
        <w:t>Recovered Development Context</w:t>
      </w:r>
    </w:p>
    <w:p>
      <w:pPr>
        <w:pStyle w:val="ListBullet"/>
      </w:pPr>
      <w:r>
        <w:t>The project repeatedly explored the relationship between Pokémon, ecology, restoration, Resonance, research, magic, technology, factions, and world rebuilding.</w:t>
      </w:r>
    </w:p>
    <w:p>
      <w:pPr>
        <w:pStyle w:val="ListBullet"/>
      </w:pPr>
      <w:r>
        <w:t>The “ER” abbreviation was noted as thematically reminiscent of an emergency room: the world is “sick” and the player helps heal it.</w:t>
      </w:r>
    </w:p>
    <w:p>
      <w:pPr>
        <w:pStyle w:val="ListBullet"/>
      </w:pPr>
      <w:r>
        <w:t>The title evolved through candidates including Cobblemon — The Living World, Cobblemon: Resonance of the Living World, Cobblemon: Ecological Resonance, Reawakening, Resonance, and Project Riispawn.</w:t>
      </w:r>
    </w:p>
    <w:p>
      <w:pPr>
        <w:pStyle w:val="ListBullet"/>
      </w:pPr>
      <w:r>
        <w:t>The archive preparation conversations explicitly worried about accidental loss caused by generated cover art, which led to the preservation-first workflow.</w:t>
      </w:r>
    </w:p>
    <w:p>
      <w:pPr>
        <w:pStyle w:val="ListBullet"/>
      </w:pPr>
      <w:r>
        <w:t>The distinction between “source/archive material” and “reconstruction” became a major project safeguard.</w:t>
      </w:r>
    </w:p>
    <w:p>
      <w:pPr>
        <w:pStyle w:val="Heading1"/>
      </w:pPr>
      <w:r>
        <w:t>Meaningful Conversational Signals</w:t>
      </w:r>
    </w:p>
    <w:p>
      <w:r>
        <w:t>Examples that should be preserved when they affect provenance include questions that recover forgotten terminology, discussions about whether an idea was actually implemented, requests to rework prior decisions in light of later discussion, and explicit statements that a conversation belongs in the archive.</w:t>
      </w:r>
    </w:p>
    <w:p>
      <w:pPr>
        <w:pStyle w:val="Heading1"/>
      </w:pPr>
      <w:r>
        <w:t>Excluded Conversational Material</w:t>
      </w:r>
    </w:p>
    <w:p>
      <w:r>
        <w:t>Ordinary logistics or unrelated conversation should not be archived merely because it occurred inside a project chat. A tangent becomes relevant when it provides useful provenance, inspiration, a design seed, a meaningful reaction, or another connection to C.E.R.</w:t>
      </w:r>
    </w:p>
    <w:p>
      <w:pPr>
        <w:pStyle w:val="Heading1"/>
      </w:pPr>
      <w:r>
        <w:t>Historical Terminology Recovery</w:t>
      </w:r>
    </w:p>
    <w:p>
      <w:r>
        <w:t>C.O.C. was recovered as Creation Over Crafting; D.O.P. as Discovery Over Prescription. Their pairing expresses two different design layers: creation versus recipe-following, and discovery versus prescribed procedure.</w:t>
      </w:r>
    </w:p>
    <w:p>
      <w:pPr>
        <w:pStyle w:val="Heading1"/>
      </w:pPr>
      <w:r>
        <w:t>Reconstruction Note</w:t>
      </w:r>
    </w:p>
    <w:p>
      <w:r>
        <w:t>This archive should not become a second Master Archive. Its purpose is to preserve contextual evidence and causal clues that can be cross-referenced from Master entries.</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