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COBBLEMON: ECOLOGICAL RESONANCE — SUPPLEMENTAL ARCHIVE</w:t>
      </w:r>
    </w:p>
    <w:p>
      <w:pPr>
        <w:jc w:val="center"/>
      </w:pPr>
      <w:r>
        <w:rPr>
          <w:i/>
          <w:sz w:val="24"/>
        </w:rPr>
        <w:t>Phase I — Technical History, Loose Material &amp; Recovery Queue</w:t>
      </w:r>
    </w:p>
    <w:p/>
    <w:p>
      <w:r>
        <w:t>This is a Phase I working reconstruction of the Cobblemon: Ecological Resonance archive. Historical material is preserved before canonical status is assigned. Nothing is treated as canon merely because it appears earlier in a source document, and uncertainty is preserved rather than invented.</w:t>
      </w:r>
    </w:p>
    <w:p>
      <w:pPr>
        <w:pStyle w:val="Heading1"/>
      </w:pPr>
      <w:r>
        <w:t>Purpose</w:t>
      </w:r>
    </w:p>
    <w:p>
      <w:r>
        <w:t>The Supplemental Archive preserves material worth keeping that does not cleanly belong in Master, Authorities, or Interaction. It is not a dumping ground for every stray sentence.</w:t>
      </w:r>
    </w:p>
    <w:p>
      <w:pPr>
        <w:pStyle w:val="Heading1"/>
      </w:pPr>
      <w:r>
        <w:t>Technical Development Source</w:t>
      </w:r>
    </w:p>
    <w:p>
      <w:r>
        <w:t>The Cobblemon EcoRe JavaScript example document is preserved as a historical technical-development source. It contains KubeJS examples for affinity items, slot unlocking, GUI keybinds, dynamic affinity ranking, and capture/resonance logic. These examples must be treated as proposals or experiments unless the source provides evidence of actual testing or deployment.</w:t>
      </w:r>
    </w:p>
    <w:p>
      <w:pPr>
        <w:pStyle w:val="Heading1"/>
      </w:pPr>
      <w:r>
        <w:t>Recovered Technical Concepts</w:t>
      </w:r>
    </w:p>
    <w:p>
      <w:pPr>
        <w:pStyle w:val="ListBullet"/>
      </w:pPr>
      <w:r>
        <w:t>Resonance Shard and Cosmic Lens as late-game materials.</w:t>
      </w:r>
    </w:p>
    <w:p>
      <w:pPr>
        <w:pStyle w:val="ListBullet"/>
      </w:pPr>
      <w:r>
        <w:t>Legendary Attunement Core and Cosmic Nexus Key as proposed high-tier slot-unlocking items.</w:t>
      </w:r>
    </w:p>
    <w:p>
      <w:pPr>
        <w:pStyle w:val="ListBullet"/>
      </w:pPr>
      <w:r>
        <w:t>Persistent player data used in example scripts for affinity values and unlocked affinity slots.</w:t>
      </w:r>
    </w:p>
    <w:p>
      <w:pPr>
        <w:pStyle w:val="ListBullet"/>
      </w:pPr>
      <w:r>
        <w:t>Dynamic ranking of the 18 affinities into a limited number of active slots, with lower-ranked affinities displaced from active positions.</w:t>
      </w:r>
    </w:p>
    <w:p>
      <w:pPr>
        <w:pStyle w:val="ListBullet"/>
      </w:pPr>
      <w:r>
        <w:t>A V-key dashboard/affinity codex concept using client/server scripting.</w:t>
      </w:r>
    </w:p>
    <w:p>
      <w:pPr>
        <w:pStyle w:val="ListBullet"/>
      </w:pPr>
      <w:r>
        <w:t>Example capture logic in which a resonance-aligned ball could increase World Affinity more than an ordinary capture.</w:t>
      </w:r>
    </w:p>
    <w:p>
      <w:pPr>
        <w:pStyle w:val="Heading1"/>
      </w:pPr>
      <w:r>
        <w:t>Recovery Queue</w:t>
      </w:r>
    </w:p>
    <w:p>
      <w:pPr>
        <w:pStyle w:val="ListBullet"/>
      </w:pPr>
      <w:r>
        <w:t>Determine which technical scripts were actually tested or implemented.</w:t>
      </w:r>
    </w:p>
    <w:p>
      <w:pPr>
        <w:pStyle w:val="ListBullet"/>
      </w:pPr>
      <w:r>
        <w:t>Compare technical terminology against later canonical terminology.</w:t>
      </w:r>
    </w:p>
    <w:p>
      <w:pPr>
        <w:pStyle w:val="ListBullet"/>
      </w:pPr>
      <w:r>
        <w:t>Identify scripts whose architecture was superseded by later design.</w:t>
      </w:r>
    </w:p>
    <w:p>
      <w:pPr>
        <w:pStyle w:val="ListBullet"/>
      </w:pPr>
      <w:r>
        <w:t>Cross-reference technical data structures with the Master Archive’s Affinity, Resonance, capture, progression, and UI discussions.</w:t>
      </w:r>
    </w:p>
    <w:p>
      <w:pPr>
        <w:pStyle w:val="ListBullet"/>
      </w:pPr>
      <w:r>
        <w:t>Preserve failed approaches and API limitations as technical history where the evidence supports them.</w:t>
      </w:r>
    </w:p>
    <w:p>
      <w:pPr>
        <w:pStyle w:val="Heading1"/>
      </w:pPr>
      <w:r>
        <w:t>Standalone Ecological Resonance</w:t>
      </w:r>
    </w:p>
    <w:p>
      <w:r>
        <w:t>A later architectural discussion established the principle that Pokémon integration does not automatically imply Pokémon dependence. Any future standalone Ecological Resonance work should evaluate each mechanic individually and use the sequence Retain → Modify → Substitute → Remove rather than performing a blanket removal of Pokémon-related systems. This is preserved here as a recovered architectural direction and cross-reference candidate.</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