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C.E.R. — Phase 1 Testing Order</w:t>
      </w:r>
    </w:p>
    <w:p>
      <w:pPr>
        <w:spacing w:after="100"/>
      </w:pPr>
      <w:r>
        <w:rPr>
          <w:i/>
          <w:iCs/>
        </w:rPr>
        <w:t xml:space="preserve">One-page working sequence for the transition out of brainstorming into research/load/test for Phase 1 of the M.M.I. Synthesized from two independent passes on the same question — skeleton-first sequencing as the backbone, evidence-log and ownership-matrix as the two adopted upgrades. Deliberately lean: no mandatory multi-world testing or full investigation cards for every mod — reserve that heavier treatment for mods already flagged genuinely uncertain.</w:t>
      </w:r>
    </w:p>
    <w:p>
      <w:pPr>
        <w:pStyle w:val="Heading1"/>
        <w:spacing w:after="150" w:before="300"/>
      </w:pPr>
      <w:r>
        <w:t xml:space="preserve">1. Skeleton First</w:t>
      </w:r>
    </w:p>
    <w:p>
      <w:pPr>
        <w:spacing w:after="100"/>
      </w:pPr>
      <w:r>
        <w:t xml:space="preserve">Load only 🟢 Confirmed-tier mods. Get this stable before adding a single candidate. This is the boring, load-bearing foundation — Cobblemon core, Occupied Pokéballs REFORGED, TBCS + Easy NPC, Lootr, Cobbleloots, and the rest of the already-locked mods. If something breaks later, you'll know it's the new addition, not a foundational issue hiding underneath everything.</w:t>
      </w:r>
    </w:p>
    <w:p>
      <w:pPr>
        <w:pStyle w:val="Heading1"/>
        <w:spacing w:after="150" w:before="300"/>
      </w:pPr>
      <w:r>
        <w:t xml:space="preserve">2. Resolve the Known Unknowns</w:t>
      </w:r>
    </w:p>
    <w:p>
      <w:pPr>
        <w:spacing w:after="100"/>
      </w:pPr>
      <w:r>
        <w:t xml:space="preserve">Test these in isolation, before anything else, because the answer changes real downstream decisions already built on an assumption: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IV Scanner — flagged against Cobblemon 1.7.x, unverified on 1.8.0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Paleontology — same flag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CobbleStats — same flag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Better Pokedex Scanner — confirm the Sinytra Connector/Forgified Fabric API bridge actually holds before the two-tier Scanner design (Part 3) is built against it</w:t>
      </w:r>
    </w:p>
    <w:p>
      <w:pPr>
        <w:pStyle w:val="Heading1"/>
        <w:spacing w:after="150" w:before="300"/>
      </w:pPr>
      <w:r>
        <w:t xml:space="preserve">3. Test by Mechanic, Not by Mod</w:t>
      </w:r>
    </w:p>
    <w:p>
      <w:pPr>
        <w:spacing w:after="100"/>
      </w:pPr>
      <w:r>
        <w:t xml:space="preserve">Don't test mods one at a time in isolation. Walk a full mechanic end-to-end and ask which mod owns each step — this surfaces ownership conflicts naturally instead of after the fact. Suggested first three, in this order:</w:t>
      </w:r>
    </w:p>
    <w:p>
      <w:pPr>
        <w:pStyle w:val="Heading2"/>
        <w:spacing w:after="100" w:before="220"/>
      </w:pPr>
      <w:r>
        <w:t xml:space="preserve">Test 1 — Pokémon Discovery</w:t>
      </w:r>
    </w:p>
    <w:p>
      <w:pPr>
        <w:spacing w:after="100"/>
      </w:pPr>
      <w:r>
        <w:rPr>
          <w:i/>
          <w:iCs/>
        </w:rPr>
        <w:t xml:space="preserve">spawn → encounter → capture → register → mark discovery → loot/reward → research progression. Which mod owns each step?</w:t>
      </w:r>
    </w:p>
    <w:p>
      <w:pPr>
        <w:pStyle w:val="Heading2"/>
        <w:spacing w:after="100" w:before="220"/>
      </w:pPr>
      <w:r>
        <w:t xml:space="preserve">Test 2 — Ecological Restoration</w:t>
      </w:r>
    </w:p>
    <w:p>
      <w:pPr>
        <w:spacing w:after="100"/>
      </w:pPr>
      <w:r>
        <w:rPr>
          <w:i/>
          <w:iCs/>
        </w:rPr>
        <w:t xml:space="preserve">pick a degraded area → perform a restoration action → confirm world state actually changes → confirm it influences spawning → confirm it can generate research evidence.</w:t>
      </w:r>
    </w:p>
    <w:p>
      <w:pPr>
        <w:pStyle w:val="Heading2"/>
        <w:spacing w:after="100" w:before="220"/>
      </w:pPr>
      <w:r>
        <w:t xml:space="preserve">Test 3 — Affinity / Resonance Baseline</w:t>
      </w:r>
    </w:p>
    <w:p>
      <w:pPr>
        <w:spacing w:after="100"/>
      </w:pPr>
      <w:r>
        <w:rPr>
          <w:i/>
          <w:iCs/>
        </w:rPr>
        <w:t xml:space="preserve">one Pokémon, neutral → exposure → recognition → progression. Confirm where the data actually lives, whether it persists through logout, and what's visible in multiplayer.</w:t>
      </w:r>
    </w:p>
    <w:p>
      <w:pPr>
        <w:pStyle w:val="Heading1"/>
        <w:spacing w:after="150" w:before="300"/>
      </w:pPr>
      <w:r>
        <w:t xml:space="preserve">4. Keep a Lightweight Evidence Log</w:t>
      </w:r>
    </w:p>
    <w:p>
      <w:pPr>
        <w:spacing w:after="100"/>
      </w:pPr>
      <w:r>
        <w:t xml:space="preserve">Every confirmed capability gets a short reference — a test ID and one line of what was verified — instead of the M.M.I. just asserting ‘this works.’ Not a full card, just enough that six months from now nothing needs re-verifying. Example format: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50"/>
        <w:gridCol w:w="3000"/>
      </w:tblGrid>
      <w:tr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4550"/>
            <w:shd w:fill="D9D9D9" w:val="clear"/>
          </w:tcPr>
          <w:p>
            <w:r>
              <w:rPr>
                <w:b/>
                <w:bCs/>
              </w:rPr>
              <w:t xml:space="preserve">What was verified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1800"/>
          </w:tcPr>
          <w:p>
            <w:r>
              <w:t xml:space="preserve">TEST-CER-001</w:t>
            </w:r>
          </w:p>
        </w:tc>
        <w:tc>
          <w:tcPr>
            <w:tcW w:type="dxa" w:w="4550"/>
          </w:tcPr>
          <w:p>
            <w:r>
              <w:t xml:space="preserve">Habitat Block successfully altered spawn pool for a test region</w:t>
            </w:r>
          </w:p>
        </w:tc>
        <w:tc>
          <w:tcPr>
            <w:tcW w:type="dxa" w:w="3000"/>
          </w:tcPr>
          <w:p>
            <w:r>
              <w:t xml:space="preserve">🟢 Confirmed</w:t>
            </w:r>
          </w:p>
        </w:tc>
      </w:tr>
      <w:tr>
        <w:tc>
          <w:tcPr>
            <w:tcW w:type="dxa" w:w="1800"/>
          </w:tcPr>
          <w:p>
            <w:r>
              <w:t xml:space="preserve">TEST-CER-002</w:t>
            </w:r>
          </w:p>
        </w:tc>
        <w:tc>
          <w:tcPr>
            <w:tcW w:type="dxa" w:w="4550"/>
          </w:tcPr>
          <w:p>
            <w:r>
              <w:t xml:space="preserve">Lootr instances container loot per-player as expected</w:t>
            </w:r>
          </w:p>
        </w:tc>
        <w:tc>
          <w:tcPr>
            <w:tcW w:type="dxa" w:w="3000"/>
          </w:tcPr>
          <w:p>
            <w:r>
              <w:t xml:space="preserve">🟢 Confirmed</w:t>
            </w:r>
          </w:p>
        </w:tc>
      </w:tr>
      <w:tr>
        <w:tc>
          <w:tcPr>
            <w:tcW w:type="dxa" w:w="1800"/>
          </w:tcPr>
          <w:p>
            <w:r>
              <w:t xml:space="preserve">TEST-CER-003</w:t>
            </w:r>
          </w:p>
        </w:tc>
        <w:tc>
          <w:tcPr>
            <w:tcW w:type="dxa" w:w="4550"/>
          </w:tcPr>
          <w:p>
            <w:r>
              <w:t xml:space="preserve">Better Pokedex Scanner bridge stable over a full session</w:t>
            </w:r>
          </w:p>
        </w:tc>
        <w:tc>
          <w:tcPr>
            <w:tcW w:type="dxa" w:w="3000"/>
          </w:tcPr>
          <w:p>
            <w:r>
              <w:t xml:space="preserve">❓ Pending</w:t>
            </w:r>
          </w:p>
        </w:tc>
      </w:tr>
    </w:tbl>
    <w:p>
      <w:pPr>
        <w:pStyle w:val="Heading1"/>
        <w:spacing w:after="150" w:before="300"/>
      </w:pPr>
      <w:r>
        <w:t xml:space="preserve">5. Build the System Ownership Matrix as You Go</w:t>
      </w:r>
    </w:p>
    <w:p>
      <w:pPr>
        <w:spacing w:after="100"/>
      </w:pPr>
      <w:r>
        <w:t xml:space="preserve">Fill this in as each mechanic gets tested — not speculatively up front — so it reflects what's actually confirmed. Whenever two systems overlap, this is where you decide who owns the truth, before two mods end up fighting over the same mechanic.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000"/>
        <w:gridCol w:w="1800"/>
        <w:gridCol w:w="1750"/>
      </w:tblGrid>
      <w:tr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Supporting mods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1750"/>
            <w:shd w:fill="D9D9D9" w:val="clear"/>
          </w:tcPr>
          <w:p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1900"/>
          </w:tcPr>
          <w:p>
            <w:r>
              <w:t xml:space="preserve">Pokémon species</w:t>
            </w:r>
          </w:p>
        </w:tc>
        <w:tc>
          <w:tcPr>
            <w:tcW w:type="dxa" w:w="1900"/>
          </w:tcPr>
          <w:p>
            <w:r>
              <w:t xml:space="preserve">Cobblemon</w:t>
            </w:r>
          </w:p>
        </w:tc>
        <w:tc>
          <w:tcPr>
            <w:tcW w:type="dxa" w:w="2000"/>
          </w:tcPr>
          <w:p>
            <w:r>
              <w:t xml:space="preserve">(fill in as tested)</w:t>
            </w:r>
          </w:p>
        </w:tc>
        <w:tc>
          <w:tcPr>
            <w:tcW w:type="dxa" w:w="1800"/>
          </w:tcPr>
          <w:p>
            <w:r>
              <w:t xml:space="preserve">spawn</w:t>
            </w:r>
          </w:p>
        </w:tc>
        <w:tc>
          <w:tcPr>
            <w:tcW w:type="dxa" w:w="1750"/>
          </w:tcPr>
          <w:p>
            <w:r>
              <w:t xml:space="preserve">Pokémon</w:t>
            </w:r>
          </w:p>
        </w:tc>
      </w:tr>
      <w:tr>
        <w:tc>
          <w:tcPr>
            <w:tcW w:type="dxa" w:w="1900"/>
          </w:tcPr>
          <w:p>
            <w:r>
              <w:t xml:space="preserve">Habitat spawning</w:t>
            </w:r>
          </w:p>
        </w:tc>
        <w:tc>
          <w:tcPr>
            <w:tcW w:type="dxa" w:w="1900"/>
          </w:tcPr>
          <w:p>
            <w:r>
              <w:t xml:space="preserve">Cobblemon</w:t>
            </w:r>
          </w:p>
        </w:tc>
        <w:tc>
          <w:tcPr>
            <w:tcW w:type="dxa" w:w="2000"/>
          </w:tcPr>
          <w:p>
            <w:r>
              <w:t xml:space="preserve">C.E.R. layer</w:t>
            </w:r>
          </w:p>
        </w:tc>
        <w:tc>
          <w:tcPr>
            <w:tcW w:type="dxa" w:w="1800"/>
          </w:tcPr>
          <w:p>
            <w:r>
              <w:t xml:space="preserve">ecology</w:t>
            </w:r>
          </w:p>
        </w:tc>
        <w:tc>
          <w:tcPr>
            <w:tcW w:type="dxa" w:w="1750"/>
          </w:tcPr>
          <w:p>
            <w:r>
              <w:t xml:space="preserve">population</w:t>
            </w:r>
          </w:p>
        </w:tc>
      </w:tr>
      <w:tr>
        <w:tc>
          <w:tcPr>
            <w:tcW w:type="dxa" w:w="1900"/>
          </w:tcPr>
          <w:p>
            <w:r>
              <w:t xml:space="preserve">Container loot</w:t>
            </w:r>
          </w:p>
        </w:tc>
        <w:tc>
          <w:tcPr>
            <w:tcW w:type="dxa" w:w="1900"/>
          </w:tcPr>
          <w:p>
            <w:r>
              <w:t xml:space="preserve">Lootr</w:t>
            </w:r>
          </w:p>
        </w:tc>
        <w:tc>
          <w:tcPr>
            <w:tcW w:type="dxa" w:w="20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discovery</w:t>
            </w:r>
          </w:p>
        </w:tc>
        <w:tc>
          <w:tcPr>
            <w:tcW w:type="dxa" w:w="1750"/>
          </w:tcPr>
          <w:p>
            <w:r>
              <w:t xml:space="preserve">loot</w:t>
            </w:r>
          </w:p>
        </w:tc>
      </w:tr>
      <w:tr>
        <w:tc>
          <w:tcPr>
            <w:tcW w:type="dxa" w:w="1900"/>
          </w:tcPr>
          <w:p>
            <w:r>
              <w:t xml:space="preserve">Poké Ball loot</w:t>
            </w:r>
          </w:p>
        </w:tc>
        <w:tc>
          <w:tcPr>
            <w:tcW w:type="dxa" w:w="1900"/>
          </w:tcPr>
          <w:p>
            <w:r>
              <w:t xml:space="preserve">Cobbleloots</w:t>
            </w:r>
          </w:p>
        </w:tc>
        <w:tc>
          <w:tcPr>
            <w:tcW w:type="dxa" w:w="20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discovery</w:t>
            </w:r>
          </w:p>
        </w:tc>
        <w:tc>
          <w:tcPr>
            <w:tcW w:type="dxa" w:w="1750"/>
          </w:tcPr>
          <w:p>
            <w:r>
              <w:t xml:space="preserve">item</w:t>
            </w:r>
          </w:p>
        </w:tc>
      </w:tr>
      <w:tr>
        <w:tc>
          <w:tcPr>
            <w:tcW w:type="dxa" w:w="1900"/>
          </w:tcPr>
          <w:p>
            <w:r>
              <w:t xml:space="preserve">Affinity</w:t>
            </w:r>
          </w:p>
        </w:tc>
        <w:tc>
          <w:tcPr>
            <w:tcW w:type="dxa" w:w="1900"/>
          </w:tcPr>
          <w:p>
            <w:r>
              <w:t xml:space="preserve">C.E.R.</w:t>
            </w:r>
          </w:p>
        </w:tc>
        <w:tc>
          <w:tcPr>
            <w:tcW w:type="dxa" w:w="2000"/>
          </w:tcPr>
          <w:p>
            <w:r>
              <w:t xml:space="preserve">Cobblemon data hooks</w:t>
            </w:r>
          </w:p>
        </w:tc>
        <w:tc>
          <w:tcPr>
            <w:tcW w:type="dxa" w:w="1800"/>
          </w:tcPr>
          <w:p>
            <w:r>
              <w:t xml:space="preserve">exposure</w:t>
            </w:r>
          </w:p>
        </w:tc>
        <w:tc>
          <w:tcPr>
            <w:tcW w:type="dxa" w:w="1750"/>
          </w:tcPr>
          <w:p>
            <w:r>
              <w:t xml:space="preserve">affinity state</w:t>
            </w:r>
          </w:p>
        </w:tc>
      </w:tr>
      <w:tr>
        <w:tc>
          <w:tcPr>
            <w:tcW w:type="dxa" w:w="1900"/>
          </w:tcPr>
          <w:p>
            <w:r>
              <w:t xml:space="preserve">(add rows as each mechanic gets tested)</w:t>
            </w:r>
          </w:p>
        </w:tc>
        <w:tc>
          <w:tcPr>
            <w:tcW w:type="dxa" w:w="19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1800"/>
          </w:tcPr>
          <w:p>
            <w:r>
              <w:t xml:space="preserve"/>
            </w:r>
          </w:p>
        </w:tc>
        <w:tc>
          <w:tcPr>
            <w:tcW w:type="dxa" w:w="1750"/>
          </w:tcPr>
          <w:p>
            <w: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6. One Vertical Slice Before Anything Broader</w:t>
      </w:r>
    </w:p>
    <w:p>
      <w:pPr>
        <w:spacing w:after="100"/>
      </w:pPr>
      <w:r>
        <w:t xml:space="preserve">Build ‘The First Resonance’ end to end before building anything wider — already designed, small, self-contained, and genuinely touches multiple systems at once: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Arrival — starter choice, first research interface opens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Observe — encounter, identify, document a Pokémon in its habitat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World Answers — a small restoration action triggers a Positive Resonance Phenomenon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Attunement — first meaningful Affinity relationship forms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Resonance — first Resonance milestone reached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Recognition — the game acknowledges what happened</w:t>
      </w:r>
    </w:p>
    <w:p>
      <w:pPr>
        <w:spacing w:after="100"/>
      </w:pPr>
      <w:r>
        <w:rPr>
          <w:i/>
          <w:iCs/>
        </w:rPr>
        <w:t xml:space="preserve">If this six-step slice works end to end, it's real proof the architecture holds — not just that individual mods happen to run.</w:t>
      </w:r>
    </w:p>
    <w:p>
      <w:pPr>
        <w:pStyle w:val="Heading1"/>
        <w:spacing w:after="150" w:before="300"/>
      </w:pPr>
      <w:r>
        <w:t xml:space="preserve">What to Deliberately Skip for Now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Mandatory Clean/Stack/Stress test worlds for every candidate mod — reserve for mods already flagged genuinely uncertain (the compatibility holds above, the Mega/Showdown cluster)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Investigation Cards for routine mods — the evidence log entry is enough unless something's actually ambiguous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Building the full item/mechanic hunt or quest-layer structure before the vertical slice proves the core loop works</w:t>
      </w:r>
    </w:p>
    <w:p>
      <w:pPr>
        <w:pStyle w:val="Heading1"/>
        <w:spacing w:after="150" w:before="300"/>
      </w:pPr>
      <w:r>
        <w:t xml:space="preserve">Feeding Results Back</w:t>
      </w:r>
    </w:p>
    <w:p>
      <w:pPr>
        <w:spacing w:after="100"/>
      </w:pPr>
      <w:r>
        <w:rPr>
          <w:i/>
          <w:iCs/>
        </w:rPr>
        <w:t xml:space="preserve">Whatever gets removed, swapped, or confirmed — name and reason is all that's needed. Logged in the Change Log, M.M.I. status updated, and anywhere else in the archive quietly depending on it gets flagged — same process as the whole session so far, just running against real test results now instead of research findings.</w:t>
      </w:r>
    </w:p>
    <w:sectPr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2026-09-15T01:36:26.895Z</dcterms:created>
  <dcterms:modified xsi:type="dcterms:W3CDTF">2026-09-15T01:36:26.905Z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