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t xml:space="preserve">Cobblemon: Ecological Resonance</w:t>
      </w:r>
    </w:p>
    <w:p>
      <w:pPr>
        <w:pStyle w:val="Heading1"/>
        <w:spacing w:after="100"/>
      </w:pPr>
      <w:r>
        <w:t xml:space="preserve">Interaction Archive</w:t>
      </w:r>
    </w:p>
    <w:p>
      <w:pPr>
        <w:spacing w:after="120"/>
      </w:pPr>
      <w:r>
        <w:rPr>
          <w:i/>
          <w:iCs/>
        </w:rPr>
        <w:t xml:space="preserve">Compiled by Claude, September 2026. Per the Authorities Archive, this archive covers what happened around C.E.R. — contextual and casual conversation, tangents that might later become relevant. Honest finding: this collaboration was overwhelmingly on-task. A dedicated search across all three transcripts for off-topic tangents, personal asides, and casual banter turned up very little that isn't either core design (already in the Master Archive) or process/governance (already in the Authorities Archive). This archive is short by evidence, not by effort — padding it out with restated design content would misrepresent what's actually here.</w:t>
      </w:r>
    </w:p>
    <w:p>
      <w:pPr>
        <w:pStyle w:val="Heading2"/>
        <w:spacing w:after="150" w:before="300"/>
      </w:pPr>
      <w:r>
        <w:t xml:space="preserve">1. How the Collaboration Actually Read</w:t>
      </w:r>
    </w:p>
    <w:p>
      <w:pPr>
        <w:spacing w:after="120"/>
      </w:pPr>
      <w:r>
        <w:t xml:space="preserve">The overwhelming majority of pt1–pt3 is direct, sustained game-design work — even the humor in the transcripts (the Shadow Rotom enthusiasm, the “PLUSHLOCKE” naming moment, various 😂 asides) happens inside design discussion rather than as separate off-topic conversation, and has been preserved in context within the relevant Master Archive sections rather than duplicated here. There is very little “chit-chat” to separate out from “work” in this project — the two were basically the same activity throughout.</w:t>
      </w:r>
    </w:p>
    <w:p>
      <w:pPr>
        <w:pStyle w:val="Heading2"/>
        <w:spacing w:after="150" w:before="300"/>
      </w:pPr>
      <w:r>
        <w:t xml:space="preserve">2. Genuine Tangents &amp; Process Discussion</w:t>
      </w:r>
    </w:p>
    <w:p>
      <w:pPr>
        <w:pStyle w:val="Heading3"/>
        <w:spacing w:after="100" w:before="200"/>
      </w:pPr>
      <w:r>
        <w:t xml:space="preserve">On chronology and document order (pt3, project start)</w:t>
      </w:r>
    </w:p>
    <w:p>
      <w:pPr>
        <w:spacing w:after="120"/>
      </w:pPr>
      <w:r>
        <w:t xml:space="preserve">Wesley raised a process question worth preserving in its own right: the four source documents were pasted in chronologically-correct order internally, but the documents/chats themselves may not be in true chronological order relative to each other, since there were no timestamps to go by. The resulting principle — reconstruct actual project chronology from evidence (references, terminology dependencies, explicit revision statements) rather than trusting document order or silently rewriting history to look clean — is the same principle captured as part of the Archive Preservation Principle in the Authorities Archive; this entry preserves the original conversational context that produced it.</w:t>
      </w:r>
    </w:p>
    <w:p>
      <w:pPr>
        <w:pStyle w:val="Heading3"/>
        <w:spacing w:after="100" w:before="200"/>
      </w:pPr>
      <w:r>
        <w:t xml:space="preserve">A parked-and-resolved tangent</w:t>
      </w:r>
    </w:p>
    <w:p>
      <w:pPr>
        <w:spacing w:after="120"/>
      </w:pPr>
      <w:r>
        <w:t xml:space="preserve">At one point Wesley flagged two items to “circle back to” mid-conversation: (1) keeping Legendary eligibility distinct from recognition so an appearance feels intentional, and (2) the Plushlocke/Gaucho plush challenges. Both were picked back up later in the same conversation and are now fully documented in the Master Archive (Part 2) — noted here only to preserve the fact that they were explicitly parked and returned to, which is a small but genuine data point about how this project handles its own backlog.</w:t>
      </w:r>
    </w:p>
    <w:p>
      <w:pPr>
        <w:pStyle w:val="Heading3"/>
        <w:spacing w:after="100" w:before="200"/>
      </w:pPr>
      <w:r>
        <w:t xml:space="preserve">A stated future-implementation preference</w:t>
      </w:r>
    </w:p>
    <w:p>
      <w:pPr>
        <w:spacing w:after="120"/>
      </w:pPr>
      <w:r>
        <w:t xml:space="preserve">Wesley indicated that once the project moves from design into actual implementation, he wants work announced and scoped one piece at a time — e.g. explicitly announcing when work starts on Affinity, when it's finished, and when the project moves to the next concept — rather than jumping between systems without a clear announced transition. This wasn't stated as a rule for the current archive-reconstruction work, but as a preference for the eventual implementation phase, so it's preserved here rather than in Authorities Archive's binding process rules.</w:t>
      </w:r>
    </w:p>
    <w:p>
      <w:pPr>
        <w:pStyle w:val="Heading2"/>
        <w:spacing w:after="150" w:before="300"/>
      </w:pPr>
      <w:r>
        <w:t xml:space="preserve">3. Personal Context</w:t>
      </w:r>
    </w:p>
    <w:p>
      <w:pPr>
        <w:spacing w:after="120"/>
      </w:pPr>
      <w:r>
        <w:t xml:space="preserve">Wesley mentioned he hasn't personally used the Nuzlocke mod and has only played real Nuzlocke challenges on the official Pokémon games — offered as context while working through the Retirement Protocol design (Master Archive, Part 2), not as a broader biographical note.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2026-09-11T13:57:24.772Z</dcterms:created>
  <dcterms:modified xsi:type="dcterms:W3CDTF">2026-09-11T13:57:24.783Z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