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10: Hearthhome, Player Paths &amp; Remaining New Material</w:t>
      </w:r>
    </w:p>
    <w:p>
      <w:pPr>
        <w:spacing w:after="120"/>
      </w:pPr>
      <w:r>
        <w:rPr>
          <w:i/>
          <w:iCs/>
        </w:rPr>
        <w:t xml:space="preserve">Compiled by Claude, September 2026, under Free Reign Mode. Source: a 133-section informal project-wide dump Wesley recovered, explicitly NOT a formal canonicalization pass. The large majority of it confirms Parts 1–9 with no contradictions found — a good consistency check on its own. This part covers only what's genuinely new: the starting settlement, technical/dev process, story structure, Player Paths, an expanded Pokémon taxonomy, and several concrete technical findings. Two small corrections were also made elsewhere — see the end of this document.</w:t>
      </w:r>
    </w:p>
    <w:p>
      <w:pPr>
        <w:pStyle w:val="Heading2"/>
        <w:spacing w:after="150" w:before="300"/>
      </w:pPr>
      <w:r>
        <w:t xml:space="preserve">1. Technical Baseline &amp; Development Philosophy</w:t>
      </w:r>
    </w:p>
    <w:p>
      <w:pPr>
        <w:spacing w:after="120"/>
      </w:pPr>
      <w:r>
        <w:t xml:space="preserve">Concrete baseline: Minecraft 1.21.1, NeoForge (21.1.250 discussed as the relevant version), Cobblemon 1.8.0, KubeJS, custom scripted/datapack infrastructure, Prism Launcher as the initial build environment.</w:t>
      </w:r>
    </w:p>
    <w:p>
      <w:pPr>
        <w:spacing w:after="120"/>
      </w:pPr>
      <w:r>
        <w:t xml:space="preserve">A 10-step development sequence was established, worth preserving as actual process guidance rather than just lore: establish Minecraft/NeoForge → establish Cobblemon → make a clean working world → verify the baseline → back it up → add major systems incrementally → test after meaningful groups of changes → keep content/QoL/worldgen/performance/core-systems concerns separate → test world generation before committing heavily to worldgen-dependent mechanics → only then build the large custom Restoration Engine. Rationale given directly: with a system this interconnected, when something breaks you need to know whether it was Cobblemon, worldgen, KubeJS, Create, quests, spawning, an addon, or your own code — the incremental order exists to keep that diagnosable. Status: 🕒 Locked — explicit process guidance, not a design brainstorm.</w:t>
      </w:r>
    </w:p>
    <w:p>
      <w:pPr>
        <w:pStyle w:val="Heading2"/>
        <w:spacing w:after="150" w:before="300"/>
      </w:pPr>
      <w:r>
        <w:t xml:space="preserve">2. Hearthhome — the Starting Settlement</w:t>
      </w:r>
    </w:p>
    <w:p>
      <w:pPr>
        <w:spacing w:after="120"/>
      </w:pPr>
      <w:r>
        <w:t xml:space="preserve">A significant piece of worldbuilding not previously in any archive part: Hearthhome, a tiny settlement that is not destroyed — abandoned. Contains houses, a bakery, a workshop, a small library, a railway station, a shrine, and a Pokémon research building, all suggesting the people who lived there intended to return and never did. The player's first home is already livable (bed, fireplace, garden, storage, small workshop) and gets gradually renovated over the course of play rather than built from nothing. Emotional arc: “This is home” → “Why was everyone gone?” Status: 🟢 Strong reconstruction.</w:t>
      </w:r>
    </w:p>
    <w:p>
      <w:pPr>
        <w:pStyle w:val="Heading3"/>
        <w:spacing w:after="100" w:before="200"/>
      </w:pPr>
      <w:r>
        <w:t xml:space="preserve">The Restoration Observatory's 19th position</w:t>
      </w:r>
    </w:p>
    <w:p>
      <w:pPr>
        <w:spacing w:after="120"/>
      </w:pPr>
      <w:r>
        <w:t xml:space="preserve">Confirms and extends Part 1's Restoration Observatory (circular ruin, 18 sockets, empty pedestal). New detail: there is a deliberately unexplained 19th Observatory position, beyond the 18 that map to the Affinities. Explicitly meant to stay a mystery — potential hook for Act II, a post-restoration mystery, or something beyond the known 18. Direct instruction preserved: do not prematurely explain it.</w:t>
      </w:r>
    </w:p>
    <w:p>
      <w:pPr>
        <w:pStyle w:val="Heading2"/>
        <w:spacing w:after="150" w:before="300"/>
      </w:pPr>
      <w:r>
        <w:t xml:space="preserve">3. The Story Chapter Outline (historical, not locked)</w:t>
      </w:r>
    </w:p>
    <w:p>
      <w:pPr>
        <w:spacing w:after="120"/>
      </w:pPr>
      <w:r>
        <w:t xml:space="preserve">An old chapter-outline structure for the central mystery, explicitly marked historical rather than current canon, but worth preserving since it's the clearest surviving shape of the intended mystery pacing: early — “Something is missing.” Chapter ~5 — “Something happened.” Chapter ~10 — “Someone caused it.” Chapter ~14 — “Someone sacrificed the Pokémon.” Chapter ~17 — “The Pokémon were part of something.” Chapter 18 — “Oh.” The broader emotional escalation this sits inside: “Something is missing” → “Why is this place like this?” → “Something happened” → “Someone caused it” → “The Pokémon were involved” → “They were protecting something” → “From what?” Status: ⚪ Historical — a real shape worth keeping as reference, not something to build against as if locked.</w:t>
      </w:r>
    </w:p>
    <w:p>
      <w:pPr>
        <w:pStyle w:val="Heading3"/>
        <w:spacing w:after="100" w:before="200"/>
      </w:pPr>
      <w:r>
        <w:t xml:space="preserve">On showing numbers vs. showing the world</w:t>
      </w:r>
    </w:p>
    <w:p>
      <w:pPr>
        <w:spacing w:after="120"/>
      </w:pPr>
      <w:r>
        <w:t xml:space="preserve">An explicit design pivot, worth flagging since it affects how Part 1's numeric tables should be read: an early version of World Affinity feedback used literal numeric HUD readouts (“Fire Resonance 82%, Heat generated 642/1000, Volcanic activity 2/3, Infernal exposure 71/100”). The later, preferred direction leans away from showing all the numbers, toward narrative text at milestones instead — e.g. at 25% “stones feel warm,” 50% “something moves beneath the ash,” 75% “distant roar,” 100% “FIRE REMEMBERS,” then Fire Pokémon begin returning. Part 1's numeric World Affinity table should be read as the underlying data model, not necessarily what the player sees directly — the intended player-facing presentation is closer to this narrative-text approach.</w:t>
      </w:r>
    </w:p>
    <w:p>
      <w:pPr>
        <w:pStyle w:val="Heading2"/>
        <w:spacing w:after="150" w:before="300"/>
      </w:pPr>
      <w:r>
        <w:t xml:space="preserve">4. The Layered Pokémon Taxonomy</w:t>
      </w:r>
    </w:p>
    <w:p>
      <w:pPr>
        <w:spacing w:after="120"/>
      </w:pPr>
      <w:r>
        <w:t xml:space="preserve">A cleaner, more formal version of the “special categories” discussion scattered across Parts 1–2: treating every variant as one mutually-exclusive category caused problems, so the project settled on independent layers that can combine: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00"/>
      </w:tblGrid>
      <w:tr>
        <w:tc>
          <w:tcPr>
            <w:tcW w:type="dxa" w:w="1800"/>
            <w:shd w:fill="D9D9D9" w:val="clear"/>
          </w:tcPr>
          <w:p>
            <w:r>
              <w:rPr>
                <w:b/>
                <w:bCs/>
              </w:rPr>
              <w:t xml:space="preserve">Layer</w:t>
            </w:r>
          </w:p>
        </w:tc>
        <w:tc>
          <w:tcPr>
            <w:tcW w:type="dxa" w:w="3200"/>
            <w:shd w:fill="D9D9D9" w:val="clear"/>
          </w:tcPr>
          <w:p>
            <w:r>
              <w:rPr>
                <w:b/>
                <w:bCs/>
              </w:rPr>
              <w:t xml:space="preserve">Question</w:t>
            </w:r>
          </w:p>
        </w:tc>
        <w:tc>
          <w:tcPr>
            <w:tcW w:type="dxa" w:w="4000"/>
            <w:shd w:fill="D9D9D9" w:val="clear"/>
          </w:tcPr>
          <w:p>
            <w:r>
              <w:rPr>
                <w:b/>
                <w:bCs/>
              </w:rPr>
              <w:t xml:space="preserve">Example</w:t>
            </w:r>
          </w:p>
        </w:tc>
      </w:tr>
      <w:tr>
        <w:tc>
          <w:tcPr>
            <w:tcW w:type="dxa" w:w="1800"/>
          </w:tcPr>
          <w:p>
            <w:r>
              <w:t xml:space="preserve">Species</w:t>
            </w:r>
          </w:p>
        </w:tc>
        <w:tc>
          <w:tcPr>
            <w:tcW w:type="dxa" w:w="3200"/>
          </w:tcPr>
          <w:p>
            <w:r>
              <w:t xml:space="preserve">What Pokémon is it?</w:t>
            </w:r>
          </w:p>
        </w:tc>
        <w:tc>
          <w:tcPr>
            <w:tcW w:type="dxa" w:w="4000"/>
          </w:tcPr>
          <w:p>
            <w:r>
              <w:t xml:space="preserve">Pikachu</w:t>
            </w:r>
          </w:p>
        </w:tc>
      </w:tr>
      <w:tr>
        <w:tc>
          <w:tcPr>
            <w:tcW w:type="dxa" w:w="1800"/>
          </w:tcPr>
          <w:p>
            <w:r>
              <w:t xml:space="preserve">Form</w:t>
            </w:r>
          </w:p>
        </w:tc>
        <w:tc>
          <w:tcPr>
            <w:tcW w:type="dxa" w:w="3200"/>
          </w:tcPr>
          <w:p>
            <w:r>
              <w:t xml:space="preserve">What form does it have?</w:t>
            </w:r>
          </w:p>
        </w:tc>
        <w:tc>
          <w:tcPr>
            <w:tcW w:type="dxa" w:w="4000"/>
          </w:tcPr>
          <w:p>
            <w:r>
              <w:t xml:space="preserve">Regional</w:t>
            </w:r>
          </w:p>
        </w:tc>
      </w:tr>
      <w:tr>
        <w:tc>
          <w:tcPr>
            <w:tcW w:type="dxa" w:w="1800"/>
          </w:tcPr>
          <w:p>
            <w:r>
              <w:t xml:space="preserve">Phenotype</w:t>
            </w:r>
          </w:p>
        </w:tc>
        <w:tc>
          <w:tcPr>
            <w:tcW w:type="dxa" w:w="3200"/>
          </w:tcPr>
          <w:p>
            <w:r>
              <w:t xml:space="preserve">How is the individual physically expressed?</w:t>
            </w:r>
          </w:p>
        </w:tc>
        <w:tc>
          <w:tcPr>
            <w:tcW w:type="dxa" w:w="4000"/>
          </w:tcPr>
          <w:p>
            <w:r>
              <w:t xml:space="preserve">Alpha</w:t>
            </w:r>
          </w:p>
        </w:tc>
      </w:tr>
      <w:tr>
        <w:tc>
          <w:tcPr>
            <w:tcW w:type="dxa" w:w="1800"/>
          </w:tcPr>
          <w:p>
            <w:r>
              <w:t xml:space="preserve">Anomaly</w:t>
            </w:r>
          </w:p>
        </w:tc>
        <w:tc>
          <w:tcPr>
            <w:tcW w:type="dxa" w:w="3200"/>
          </w:tcPr>
          <w:p>
            <w:r>
              <w:t xml:space="preserve">Has its identity been altered?</w:t>
            </w:r>
          </w:p>
        </w:tc>
        <w:tc>
          <w:tcPr>
            <w:tcW w:type="dxa" w:w="4000"/>
          </w:tcPr>
          <w:p>
            <w:r>
              <w:t xml:space="preserve">Fusion, Fake</w:t>
            </w:r>
          </w:p>
        </w:tc>
      </w:tr>
      <w:tr>
        <w:tc>
          <w:tcPr>
            <w:tcW w:type="dxa" w:w="1800"/>
          </w:tcPr>
          <w:p>
            <w:r>
              <w:t xml:space="preserve">Ecological State</w:t>
            </w:r>
          </w:p>
        </w:tc>
        <w:tc>
          <w:tcPr>
            <w:tcW w:type="dxa" w:w="3200"/>
          </w:tcPr>
          <w:p>
            <w:r>
              <w:t xml:space="preserve">What has the environment done to it?</w:t>
            </w:r>
          </w:p>
        </w:tc>
        <w:tc>
          <w:tcPr>
            <w:tcW w:type="dxa" w:w="4000"/>
          </w:tcPr>
          <w:p>
            <w:r>
              <w:t xml:space="preserve">Twisted</w:t>
            </w:r>
          </w:p>
        </w:tc>
      </w:tr>
      <w:tr>
        <w:tc>
          <w:tcPr>
            <w:tcW w:type="dxa" w:w="1800"/>
          </w:tcPr>
          <w:p>
            <w:r>
              <w:t xml:space="preserve">Resonance State</w:t>
            </w:r>
          </w:p>
        </w:tc>
        <w:tc>
          <w:tcPr>
            <w:tcW w:type="dxa" w:w="3200"/>
          </w:tcPr>
          <w:p>
            <w:r>
              <w:t xml:space="preserve">What condition is its Resonance in?</w:t>
            </w:r>
          </w:p>
        </w:tc>
        <w:tc>
          <w:tcPr>
            <w:tcW w:type="dxa" w:w="4000"/>
          </w:tcPr>
          <w:p>
            <w:r>
              <w:t xml:space="preserve">Shadow</w:t>
            </w:r>
          </w:p>
        </w:tc>
      </w:tr>
      <w:tr>
        <w:tc>
          <w:tcPr>
            <w:tcW w:type="dxa" w:w="1800"/>
          </w:tcPr>
          <w:p>
            <w:r>
              <w:t xml:space="preserve">Stability State</w:t>
            </w:r>
          </w:p>
        </w:tc>
        <w:tc>
          <w:tcPr>
            <w:tcW w:type="dxa" w:w="3200"/>
          </w:tcPr>
          <w:p>
            <w:r>
              <w:t xml:space="preserve">Is its Resonance configuration stable?</w:t>
            </w:r>
          </w:p>
        </w:tc>
        <w:tc>
          <w:tcPr>
            <w:tcW w:type="dxa" w:w="4000"/>
          </w:tcPr>
          <w:p>
            <w:r>
              <w:t xml:space="preserve">Fractured</w:t>
            </w:r>
          </w:p>
        </w:tc>
      </w:tr>
    </w:tbl>
    <w:p>
      <w:pPr>
        <w:spacing w:after="120"/>
      </w:pPr>
      <w:r>
        <w:t xml:space="preserve">Theoretical combinations can exist, but not every combination should — and critically, special does not mean stronger: Alpha, Shadow, Twisted, Fusion, and Fractured are all explicitly NOT automatically the best version of a Pokémon. Every category needs its own reason to exist rather than functioning as a de facto power tier.</w:t>
      </w:r>
    </w:p>
    <w:p>
      <w:pPr>
        <w:pStyle w:val="Heading3"/>
        <w:spacing w:after="100" w:before="200"/>
      </w:pPr>
      <w:r>
        <w:t xml:space="preserve">Fake Pokémon (new category)</w:t>
      </w:r>
    </w:p>
    <w:p>
      <w:pPr>
        <w:spacing w:after="120"/>
      </w:pPr>
      <w:r>
        <w:t xml:space="preserve">Not previously documented: “Fake” covers artificial/imitative/manufactured Pokémon — likely belonging to artificial identity alteration (the Anomaly layer, alongside Fusion) rather than ecological or Resonance corruption. Exact mechanics/lore unresolved — 🟠 Unresolved, not fleshed out beyond the category existing.</w:t>
      </w:r>
    </w:p>
    <w:p>
      <w:pPr>
        <w:pStyle w:val="Heading3"/>
        <w:spacing w:after="100" w:before="200"/>
      </w:pPr>
      <w:r>
        <w:t xml:space="preserve">Post-Fusion degradation (new)</w:t>
      </w:r>
    </w:p>
    <w:p>
      <w:pPr>
        <w:spacing w:after="120"/>
      </w:pPr>
      <w:r>
        <w:t xml:space="preserve">Not previously captured: Fusion failure isn't the only path to Shadow/Fractured — a Fusion that succeeded can later degrade. A successful Fusion exposed to corruption afterward becomes a Shadow Fusion; a successful Fusion that later becomes unstable becomes a Fractured Fusion. These are distinct from Part 2's synthesis-time failure branches (Resonance Rejection → Fractured/Shadow) — this is post-hoc decay of an already-successful result, not a different outcome of the original synthesis attempt.</w:t>
      </w:r>
    </w:p>
    <w:p>
      <w:pPr>
        <w:pStyle w:val="Heading2"/>
        <w:spacing w:after="150" w:before="300"/>
      </w:pPr>
      <w:r>
        <w:t xml:space="preserve">5. Resonance Tags (distinct from the 18 Affinities)</w:t>
      </w:r>
    </w:p>
    <w:p>
      <w:pPr>
        <w:spacing w:after="120"/>
      </w:pPr>
      <w:r>
        <w:t xml:space="preserve">A separate vocabulary describing what a Resonance Opportunity or phenomenon relates to — not Affinity categories: TIME, NATURE, WATER, LIFE, DEATH, SPACE, GENETICS, FIRE, KNOWLEDGE, DREAMS, DARKNESS, CREATION, DISTORTION. Useful for tagging opportunities/events by theme without overloading the 18-Affinity system with concepts that don't map cleanly onto a Pokémon type.</w:t>
      </w:r>
    </w:p>
    <w:p>
      <w:pPr>
        <w:pStyle w:val="Heading3"/>
        <w:spacing w:after="100" w:before="200"/>
      </w:pPr>
      <w:r>
        <w:t xml:space="preserve">Seeking Resonance / the Resonance Window</w:t>
      </w:r>
    </w:p>
    <w:p>
      <w:pPr>
        <w:spacing w:after="120"/>
      </w:pPr>
      <w:r>
        <w:t xml:space="preserve">A new mechanic tied to the Restoration Observatory: the player can actively “Seek Resonance” or “Listen,” opening a Resonance Window (or Stirring). This doesn't summon a Legendary — it signals “I'm listening” and lets the world respond on its own terms. Recovered flavor-text examples for the moment before a Legendary's identity is revealed: “Something stirred in the distance,” “For a moment, you feel as though you are being watched,” “Something has answered your call” — explicitly not an immediate “DIALGA HAS APPEARED!”-style reveal; atmosphere comes first.</w:t>
      </w:r>
    </w:p>
    <w:p>
      <w:pPr>
        <w:pStyle w:val="Heading2"/>
        <w:spacing w:after="150" w:before="300"/>
      </w:pPr>
      <w:r>
        <w:t xml:space="preserve">6. Player Paths of Resonance</w:t>
      </w:r>
    </w:p>
    <w:p>
      <w:pPr>
        <w:spacing w:after="120"/>
      </w:pPr>
      <w:r>
        <w:t xml:space="preserve">A significantly fuller version of the brief mention in Part 1 (“Ranger, Researcher, Trainer established; Artisan and Warden proposed”). Explicitly not rigid RPG classes — a player can pursue several paths at once, expressed through play rather than chosen at creation: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200"/>
      </w:tblGrid>
      <w:tr>
        <w:tc>
          <w:tcPr>
            <w:tcW w:type="dxa" w:w="1600"/>
            <w:shd w:fill="D9D9D9" w:val="clear"/>
          </w:tcPr>
          <w:p>
            <w:r>
              <w:rPr>
                <w:b/>
                <w:bCs/>
              </w:rPr>
              <w:t xml:space="preserve">Path</w:t>
            </w:r>
          </w:p>
        </w:tc>
        <w:tc>
          <w:tcPr>
            <w:tcW w:type="dxa" w:w="3200"/>
            <w:shd w:fill="D9D9D9" w:val="clear"/>
          </w:tcPr>
          <w:p>
            <w:r>
              <w:rPr>
                <w:b/>
                <w:bCs/>
              </w:rPr>
              <w:t xml:space="preserve">Guiding question</w:t>
            </w:r>
          </w:p>
        </w:tc>
        <w:tc>
          <w:tcPr>
            <w:tcW w:type="dxa" w:w="4200"/>
            <w:shd w:fill="D9D9D9" w:val="clear"/>
          </w:tcPr>
          <w:p>
            <w:r>
              <w:rPr>
                <w:b/>
                <w:bCs/>
              </w:rPr>
              <w:t xml:space="preserve">Focus</w:t>
            </w:r>
          </w:p>
        </w:tc>
      </w:tr>
      <w:tr>
        <w:tc>
          <w:tcPr>
            <w:tcW w:type="dxa" w:w="1600"/>
          </w:tcPr>
          <w:p>
            <w:r>
              <w:t xml:space="preserve">Ranger</w:t>
            </w:r>
          </w:p>
        </w:tc>
        <w:tc>
          <w:tcPr>
            <w:tcW w:type="dxa" w:w="3200"/>
          </w:tcPr>
          <w:p>
            <w:r>
              <w:t xml:space="preserve">“What does this place need?”</w:t>
            </w:r>
          </w:p>
        </w:tc>
        <w:tc>
          <w:tcPr>
            <w:tcW w:type="dxa" w:w="4200"/>
          </w:tcPr>
          <w:p>
            <w:r>
              <w:t xml:space="preserve">Exploration, ecology, restoration, habitat, fieldwork</w:t>
            </w:r>
          </w:p>
        </w:tc>
      </w:tr>
      <w:tr>
        <w:tc>
          <w:tcPr>
            <w:tcW w:type="dxa" w:w="1600"/>
          </w:tcPr>
          <w:p>
            <w:r>
              <w:t xml:space="preserve">Researcher</w:t>
            </w:r>
          </w:p>
        </w:tc>
        <w:tc>
          <w:tcPr>
            <w:tcW w:type="dxa" w:w="3200"/>
          </w:tcPr>
          <w:p>
            <w:r>
              <w:t xml:space="preserve">“What is happening here, and why?”</w:t>
            </w:r>
          </w:p>
        </w:tc>
        <w:tc>
          <w:tcPr>
            <w:tcW w:type="dxa" w:w="4200"/>
          </w:tcPr>
          <w:p>
            <w:r>
              <w:t xml:space="preserve">Research, photography, Resonance, Affinity, anomalies, documentation</w:t>
            </w:r>
          </w:p>
        </w:tc>
      </w:tr>
      <w:tr>
        <w:tc>
          <w:tcPr>
            <w:tcW w:type="dxa" w:w="1600"/>
          </w:tcPr>
          <w:p>
            <w:r>
              <w:t xml:space="preserve">Trainer</w:t>
            </w:r>
          </w:p>
        </w:tc>
        <w:tc>
          <w:tcPr>
            <w:tcW w:type="dxa" w:w="3200"/>
          </w:tcPr>
          <w:p>
            <w:r>
              <w:t xml:space="preserve">“How far can we go together?”</w:t>
            </w:r>
          </w:p>
        </w:tc>
        <w:tc>
          <w:tcPr>
            <w:tcW w:type="dxa" w:w="4200"/>
          </w:tcPr>
          <w:p>
            <w:r>
              <w:t xml:space="preserve">Pokémon training, battles, Gyms, Battle Towers, tournaments, mastery</w:t>
            </w:r>
          </w:p>
        </w:tc>
      </w:tr>
      <w:tr>
        <w:tc>
          <w:tcPr>
            <w:tcW w:type="dxa" w:w="1600"/>
          </w:tcPr>
          <w:p>
            <w:r>
              <w:t xml:space="preserve">Artisan (proposed)</w:t>
            </w:r>
          </w:p>
        </w:tc>
        <w:tc>
          <w:tcPr>
            <w:tcW w:type="dxa" w:w="3200"/>
          </w:tcPr>
          <w:p>
            <w:r>
              <w:t xml:space="preserve">“What can I create to help the world?”</w:t>
            </w:r>
          </w:p>
        </w:tc>
        <w:tc>
          <w:tcPr>
            <w:tcW w:type="dxa" w:w="4200"/>
          </w:tcPr>
          <w:p>
            <w:r>
              <w:t xml:space="preserve">Create, machinery, infrastructure, Resonance equipment, automation</w:t>
            </w:r>
          </w:p>
        </w:tc>
      </w:tr>
      <w:tr>
        <w:tc>
          <w:tcPr>
            <w:tcW w:type="dxa" w:w="1600"/>
          </w:tcPr>
          <w:p>
            <w:r>
              <w:t xml:space="preserve">Warden (proposed)</w:t>
            </w:r>
          </w:p>
        </w:tc>
        <w:tc>
          <w:tcPr>
            <w:tcW w:type="dxa" w:w="3200"/>
          </w:tcPr>
          <w:p>
            <w:r>
              <w:t xml:space="preserve">“What is the world asking of me?”</w:t>
            </w:r>
          </w:p>
        </w:tc>
        <w:tc>
          <w:tcPr>
            <w:tcW w:type="dxa" w:w="4200"/>
          </w:tcPr>
          <w:p>
            <w:r>
              <w:t xml:space="preserve">Advanced Resonance, Nature's Aura, Resonance Hearts, Domains, Virtues</w:t>
            </w:r>
          </w:p>
        </w:tc>
      </w:tr>
    </w:tbl>
    <w:p>
      <w:pPr>
        <w:spacing w:after="120"/>
      </w:pPr>
      <w:r>
        <w:t xml:space="preserve">A maturity/reputation progression per path was also recovered: Developing → Established → Mastered → Awakened (exact path→tier mapping not specified). Governing rule: starter choice establishes initial Resonance, actions establish path, accomplishments establish reputation/Virtues, and the world responds — explicitly preferred over selecting a rigid class at character creation. Status: 🟢 Strong reconstruction for Ranger/Researcher/Trainer; 🟡 Candidate for Artisan/Warden and the maturity-tier system.</w:t>
      </w:r>
    </w:p>
    <w:p>
      <w:pPr>
        <w:pStyle w:val="Heading2"/>
        <w:spacing w:after="150" w:before="300"/>
      </w:pPr>
      <w:r>
        <w:t xml:space="preserve">7. Factions, Trainers, Contests &amp; Rallies</w:t>
      </w:r>
    </w:p>
    <w:p>
      <w:pPr>
        <w:spacing w:after="120"/>
      </w:pPr>
      <w:r>
        <w:t xml:space="preserve">Expands Part 8's faction roster: two more names recovered — Aether League and Independent Rangers — alongside the five already documented (Verdant Circle, Iron Accord, Arcane Order, Umbral Covenant, Frontier Guild). Still explicitly examples, not a confirmed final roster.</w:t>
      </w:r>
    </w:p>
    <w:p>
      <w:pPr>
        <w:spacing w:after="120"/>
      </w:pPr>
      <w:r>
        <w:t xml:space="preserve">Faction Trainers split into Allies (can't be battled; trade, offer benefits, assist the player) and Opponents (battle the player; rewards/penalties/faction consequences). Restricted areas can be gated by guards via a Cobblemon battle rather than combat/violence — explicitly preserves the franchise's tone.</w:t>
      </w:r>
    </w:p>
    <w:p>
      <w:pPr>
        <w:spacing w:after="120"/>
      </w:pPr>
      <w:r>
        <w:t xml:space="preserve">Contest vs. Rally, a useful distinction not previously drawn this cleanly: a Contest asks “who can accomplish X best?” (individual competition — candidate types: fishing, catching, performance, exploration, scavenging, species/type challenges, timed challenges, bike races); a Rally asks people to gather and participate together (community/ecological events — restoration festivals, migrations, seasonal events, Affinity celebrations, communal projects).</w:t>
      </w:r>
    </w:p>
    <w:p>
      <w:pPr>
        <w:pStyle w:val="Heading2"/>
        <w:spacing w:after="150" w:before="300"/>
      </w:pPr>
      <w:r>
        <w:t xml:space="preserve">8. Pokémon Hunts</w:t>
      </w:r>
    </w:p>
    <w:p>
      <w:pPr>
        <w:spacing w:after="120"/>
      </w:pPr>
      <w:r>
        <w:t xml:space="preserve">A structured system: Research question → Hunt → Exploration → Observation → Capture → Research → Affinity/Resonance → New research (a loop, not a one-off). Potential hunt targets: species, nature, ability, gender, form, Alpha, shiny, Affinity, habitat, biome, weather, time, ecological state, behavioral condition, anomaly/state, temporal variant. Explicit guardrail: don't turn this into an exhaustive database checklist — a hunt should exist because the world currently needs that Pokémon/information, not because a completionist list demands it.</w:t>
      </w:r>
    </w:p>
    <w:p>
      <w:pPr>
        <w:spacing w:after="120"/>
      </w:pPr>
      <w:r>
        <w:t xml:space="preserve">Fusion (and, by the same logic, Fake Pokémon) shouldn't normally be a hunt target if it doesn't occur naturally — instead the player pursues a Research Investigation (e.g. “Synthetic Resonance”) that builds through evidence → research → experiment → discovery, making the eventual Fusion feel earned rather than found.</w:t>
      </w:r>
    </w:p>
    <w:p>
      <w:pPr>
        <w:pStyle w:val="Heading2"/>
        <w:spacing w:after="150" w:before="300"/>
      </w:pPr>
      <w:r>
        <w:t xml:space="preserve">9. Progression Ladder &amp; Automation Philosophy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00"/>
      </w:tblGrid>
      <w:tr>
        <w:tc>
          <w:tcPr>
            <w:tcW w:type="dxa" w:w="1600"/>
            <w:shd w:fill="D9D9D9" w:val="clear"/>
          </w:tcPr>
          <w:p>
            <w:r>
              <w:rPr>
                <w:b/>
                <w:bCs/>
              </w:rPr>
              <w:t xml:space="preserve">Stage</w:t>
            </w:r>
          </w:p>
        </w:tc>
        <w:tc>
          <w:tcPr>
            <w:tcW w:type="dxa" w:w="2200"/>
            <w:shd w:fill="D9D9D9" w:val="clear"/>
          </w:tcPr>
          <w:p>
            <w:r>
              <w:rPr>
                <w:b/>
                <w:bCs/>
              </w:rPr>
              <w:t xml:space="preserve">Vanilla-tier anchor</w:t>
            </w:r>
          </w:p>
        </w:tc>
        <w:tc>
          <w:tcPr>
            <w:tcW w:type="dxa" w:w="5200"/>
            <w:shd w:fill="D9D9D9" w:val="clear"/>
          </w:tcPr>
          <w:p>
            <w:r>
              <w:rPr>
                <w:b/>
                <w:bCs/>
              </w:rPr>
              <w:t xml:space="preserve">Focus</w:t>
            </w:r>
          </w:p>
        </w:tc>
      </w:tr>
      <w:tr>
        <w:tc>
          <w:tcPr>
            <w:tcW w:type="dxa" w:w="1600"/>
          </w:tcPr>
          <w:p>
            <w:r>
              <w:t xml:space="preserve">Early</w:t>
            </w:r>
          </w:p>
        </w:tc>
        <w:tc>
          <w:tcPr>
            <w:tcW w:type="dxa" w:w="2200"/>
          </w:tcPr>
          <w:p>
            <w:r>
              <w:t xml:space="preserve">Wood → Stone</w:t>
            </w:r>
          </w:p>
        </w:tc>
        <w:tc>
          <w:tcPr>
            <w:tcW w:type="dxa" w:w="5200"/>
          </w:tcPr>
          <w:p>
            <w:r>
              <w:t xml:space="preserve">Basic Cobblemon, basic Create, basic Ars</w:t>
            </w:r>
          </w:p>
        </w:tc>
      </w:tr>
      <w:tr>
        <w:tc>
          <w:tcPr>
            <w:tcW w:type="dxa" w:w="1600"/>
          </w:tcPr>
          <w:p>
            <w:r>
              <w:t xml:space="preserve">First restoration</w:t>
            </w:r>
          </w:p>
        </w:tc>
        <w:tc>
          <w:tcPr>
            <w:tcW w:type="dxa" w:w="2200"/>
          </w:tcPr>
          <w:p>
            <w:r>
              <w:t xml:space="preserve">Iron</w:t>
            </w:r>
          </w:p>
        </w:tc>
        <w:tc>
          <w:tcPr>
            <w:tcW w:type="dxa" w:w="5200"/>
          </w:tcPr>
          <w:p>
            <w:r>
              <w:t xml:space="preserve">Create machinery, first major region</w:t>
            </w:r>
          </w:p>
        </w:tc>
      </w:tr>
      <w:tr>
        <w:tc>
          <w:tcPr>
            <w:tcW w:type="dxa" w:w="1600"/>
          </w:tcPr>
          <w:p>
            <w:r>
              <w:t xml:space="preserve">Midgame</w:t>
            </w:r>
          </w:p>
        </w:tc>
        <w:tc>
          <w:tcPr>
            <w:tcW w:type="dxa" w:w="2200"/>
          </w:tcPr>
          <w:p>
            <w:r>
              <w:t xml:space="preserve">Diamond</w:t>
            </w:r>
          </w:p>
        </w:tc>
        <w:tc>
          <w:tcPr>
            <w:tcW w:type="dxa" w:w="5200"/>
          </w:tcPr>
          <w:p>
            <w:r>
              <w:t xml:space="preserve">Advanced magic, the Nether, industrial infrastructure</w:t>
            </w:r>
          </w:p>
        </w:tc>
      </w:tr>
      <w:tr>
        <w:tc>
          <w:tcPr>
            <w:tcW w:type="dxa" w:w="1600"/>
          </w:tcPr>
          <w:p>
            <w:r>
              <w:t xml:space="preserve">Late midgame</w:t>
            </w:r>
          </w:p>
        </w:tc>
        <w:tc>
          <w:tcPr>
            <w:tcW w:type="dxa" w:w="2200"/>
          </w:tcPr>
          <w:p>
            <w:r>
              <w:t xml:space="preserve">(post-Diamond)</w:t>
            </w:r>
          </w:p>
        </w:tc>
        <w:tc>
          <w:tcPr>
            <w:tcW w:type="dxa" w:w="5200"/>
          </w:tcPr>
          <w:p>
            <w:r>
              <w:t xml:space="preserve">Create factories, advanced Ars/Occultism, dangerous ruins</w:t>
            </w:r>
          </w:p>
        </w:tc>
      </w:tr>
      <w:tr>
        <w:tc>
          <w:tcPr>
            <w:tcW w:type="dxa" w:w="1600"/>
          </w:tcPr>
          <w:p>
            <w:r>
              <w:t xml:space="preserve">Endgame</w:t>
            </w:r>
          </w:p>
        </w:tc>
        <w:tc>
          <w:tcPr>
            <w:tcW w:type="dxa" w:w="2200"/>
          </w:tcPr>
          <w:p>
            <w:r>
              <w:t xml:space="preserve">(post-Nether-tier)</w:t>
            </w:r>
          </w:p>
        </w:tc>
        <w:tc>
          <w:tcPr>
            <w:tcW w:type="dxa" w:w="5200"/>
          </w:tcPr>
          <w:p>
            <w:r>
              <w:t xml:space="preserve">Ancient technology, magical infrastructure, the Restoration Engine itself</w:t>
            </w:r>
          </w:p>
        </w:tc>
      </w:tr>
      <w:tr>
        <w:tc>
          <w:tcPr>
            <w:tcW w:type="dxa" w:w="1600"/>
          </w:tcPr>
          <w:p>
            <w:r>
              <w:t xml:space="preserve">Post-18</w:t>
            </w:r>
          </w:p>
        </w:tc>
        <w:tc>
          <w:tcPr>
            <w:tcW w:type="dxa" w:w="2200"/>
          </w:tcPr>
          <w:p>
            <w:r>
              <w:t xml:space="preserve">(all Affinities restored)</w:t>
            </w:r>
          </w:p>
        </w:tc>
        <w:tc>
          <w:tcPr>
            <w:tcW w:type="dxa" w:w="5200"/>
          </w:tcPr>
          <w:p>
            <w:r>
              <w:t xml:space="preserve">An entirely new progression tree</w:t>
            </w:r>
          </w:p>
        </w:tc>
      </w:tr>
    </w:tbl>
    <w:p>
      <w:pPr>
        <w:spacing w:after="120"/>
      </w:pPr>
      <w:r>
        <w:t xml:space="preserve">Explicitly broad historical concepts, not locked balance values. Automation philosophy, stated as a clean rule: automation should represent mastery, not a shortcut available from the start — Early = manual, Mid = stabilization, Late = automation, keeping the player actively involved with the ecosystem rather than automating engagement away early.</w:t>
      </w:r>
    </w:p>
    <w:p>
      <w:pPr>
        <w:pStyle w:val="Heading2"/>
        <w:spacing w:after="150" w:before="300"/>
      </w:pPr>
      <w:r>
        <w:t xml:space="preserve">10. Concrete Technical Findings</w:t>
      </w:r>
    </w:p>
    <w:p>
      <w:pPr>
        <w:pStyle w:val="ListParagraph"/>
        <w:numPr>
          <w:ilvl w:val="0"/>
          <w:numId w:val="1"/>
        </w:numPr>
        <w:spacing w:after="60"/>
      </w:pPr>
      <w:r>
        <w:t xml:space="preserve">Catch Indicator is confirmed incompatible with Cobblemon 1.8.0. The preferred alternative discussed is Catch Rate Display 2.1.1. Worth folding into the mod list next time Part 4/8's tables are touched.</w:t>
      </w:r>
    </w:p>
    <w:p>
      <w:pPr>
        <w:pStyle w:val="ListParagraph"/>
        <w:numPr>
          <w:ilvl w:val="0"/>
          <w:numId w:val="1"/>
        </w:numPr>
        <w:spacing w:after="60"/>
      </w:pPr>
      <w:r>
        <w:t xml:space="preserve">Loader Policy: mod candidates should eventually be organized by loader (NeoForge/Fabric/etc.); cross-loader infrastructure like Forgified Fabric is optional compatibility infrastructure, not an assumed part of the pack.</w:t>
      </w:r>
    </w:p>
    <w:p>
      <w:pPr>
        <w:pStyle w:val="ListParagraph"/>
        <w:numPr>
          <w:ilvl w:val="0"/>
          <w:numId w:val="1"/>
        </w:numPr>
        <w:spacing w:after="60"/>
      </w:pPr>
      <w:r>
        <w:t xml:space="preserve">A full Cobblemon Feature Audit was proposed but explicitly has NOT been performed yet — examining every significant Cobblemon version update for what could be repurposed for C.E.R. (not just what Cobblemon uses it for natively). Flagged as a real planned task, not done.</w:t>
      </w:r>
    </w:p>
    <w:p>
      <w:pPr>
        <w:pStyle w:val="ListParagraph"/>
        <w:numPr>
          <w:ilvl w:val="0"/>
          <w:numId w:val="1"/>
        </w:numPr>
        <w:spacing w:after="60"/>
      </w:pPr>
      <w:r>
        <w:t xml:space="preserve">Additional mod-list candidates surfaced here, not previously listed: FTB Quests (quest framework candidate alongside/instead of Cobblemon Quests), Terralith and Nature's Spirit (worldgen), Towns &amp; Towers and YUNG's Better Dungeons (structures), possibly Alex's Caves, Sophisticated Backpacks and JEI/EMI (QoL/utility), Cobblemon Hunt, Cobblemon Picnic, and Occupied Pokéballs REFORGED (the specific mod behind Part 8's Occupied Pokéball system) — all still needing compatibility validation against the actual 1.21.1/Cobblemon 1.8 target.</w:t>
      </w:r>
    </w:p>
    <w:p>
      <w:pPr>
        <w:pStyle w:val="Heading2"/>
        <w:spacing w:after="150" w:before="300"/>
      </w:pPr>
      <w:r>
        <w:t xml:space="preserve">11. Reintroduction, Ecological Roles &amp; Dynamic Population (unresolved, future-facing)</w:t>
      </w:r>
    </w:p>
    <w:p>
      <w:pPr>
        <w:spacing w:after="120"/>
      </w:pPr>
      <w:r>
        <w:t xml:space="preserve">Three related but unresolved systems worth tracking together. Reintroduction: instead of a species simply becoming spawnable because a number crossed a threshold, the player could discover a habitat, study the species, restore the right conditions, and actively reintroduce it — turning population recovery into something the player does, not something that just happens. Ecological Roles: Pokémon could eventually carry a functional role beyond type/stats — pollinator, predator, prey, decomposer, seed disperser, aquatic cleaner, territorial guardian, weather influencer, cave dweller, soil modifier. Dynamic Population: the spawn system could eventually track more than yes/no eligibility — actual population, habitat, and ecological role together. All three: 🟠 Unresolved/future — real ideas, no implementation shape yet.</w:t>
      </w:r>
    </w:p>
    <w:p>
      <w:pPr>
        <w:pStyle w:val="Heading2"/>
        <w:spacing w:after="150" w:before="300"/>
      </w:pPr>
      <w:r>
        <w:t xml:space="preserve">12. Traverser Mark (non-canon, future-sequel idea)</w:t>
      </w:r>
    </w:p>
    <w:p>
      <w:pPr>
        <w:spacing w:after="120"/>
      </w:pPr>
      <w:r>
        <w:t xml:space="preserve">A Resonance Mark (per Part 9) proposed for a hypothetical future “Home” system letting a Pokémon transfer between separate C.E.R. worlds — a Pokémon that crossed worlds would carry a Traverser Mark. Explicitly flagged as not current implementation canon — a fun idea kept on file for a potential sequel/second iteration, not something to build toward now.</w:t>
      </w:r>
    </w:p>
    <w:p>
      <w:pPr>
        <w:pStyle w:val="Heading2"/>
        <w:spacing w:after="150" w:before="300"/>
      </w:pPr>
      <w:r>
        <w:t xml:space="preserve">13. Closing Framing (worth preserving as-is)</w:t>
      </w:r>
    </w:p>
    <w:p>
      <w:pPr>
        <w:spacing w:after="120"/>
      </w:pPr>
      <w:r>
        <w:rPr>
          <w:i/>
          <w:iCs/>
        </w:rPr>
        <w:t xml:space="preserve">The recovery ends on a genuinely useful piece of project self-assessment: C.E.R. has stopped being a collection of individual mechanics and become an architecture — World → Ecology → Affinity → Resonance → Pokémon → Research → Materials → Creation → Magic → Technology → Factions → Restoration → Legendary Recognition → Domains → History → Memory → back into the World. The stated open problem going forward isn't “what other systems should we invent,” it's “how do all these systems communicate with one another without becoming clutter” — i.e. the work now is defining interfaces between already-designed systems, not adding new ones. Worth keeping in mind for future sessions as a genuine project-management signal, not just lore.</w:t>
      </w:r>
    </w:p>
    <w:p>
      <w:pPr>
        <w:spacing w:after="120"/>
      </w:pPr>
      <w:r>
        <w:t xml:space="preserve">Final one-sentence formulations worth preserving verbatim: “You arrive in a world that has forgotten how to live, learn to resonate with its 18 elemental forces, restore its Pokémon and ecosystems, and eventually teach the world to remember itself.” And shorter: Restore the Resonance. Restore the Ecosystem. Restore the World.</w:t>
      </w:r>
    </w:p>
    <w:p>
      <w:pPr>
        <w:pStyle w:val="Heading2"/>
        <w:spacing w:after="150" w:before="300"/>
      </w:pPr>
      <w:r>
        <w:t xml:space="preserve">Corrections made to other archives from this pass</w:t>
      </w:r>
    </w:p>
    <w:p>
      <w:pPr>
        <w:pStyle w:val="ListParagraph"/>
        <w:numPr>
          <w:ilvl w:val="0"/>
          <w:numId w:val="1"/>
        </w:numPr>
        <w:spacing w:after="60"/>
      </w:pPr>
      <w:r>
        <w:t xml:space="preserve">Authorities Archive: added the Editorial Integrity rule (fix spelling/grammar/formatting/transcription errors freely; never silently change meaning) as an explicit governing rule for future cleanup passes.</w:t>
      </w:r>
    </w:p>
    <w:p>
      <w:pPr>
        <w:pStyle w:val="ListParagraph"/>
        <w:numPr>
          <w:ilvl w:val="0"/>
          <w:numId w:val="1"/>
        </w:numPr>
        <w:spacing w:after="60"/>
      </w:pPr>
      <w:r>
        <w:t xml:space="preserve">Master Archive Part 5: added a caveat that code appearing in the JavaScript example document is evidence of technical exploration, not proof anything was actually implemented or working — applies retroactively to how that part's content should be read.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2026-09-11T19:10:39.859Z</dcterms:created>
  <dcterms:modified xsi:type="dcterms:W3CDTF">2026-09-11T19:10:39.874Z</dcterms:modified>
</cp:coreProperties>
</file>

<file path=docProps/custom.xml><?xml version="1.0" encoding="utf-8"?>
<Properties xmlns="http://schemas.openxmlformats.org/officeDocument/2006/custom-properties" xmlns:vt="http://schemas.openxmlformats.org/officeDocument/2006/docPropsVTypes"/>
</file>