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 Project Identity &amp; Core Systems</w:t>
      </w:r>
    </w:p>
    <w:p>
      <w:pPr>
        <w:spacing w:after="120"/>
      </w:pPr>
      <w:r>
        <w:rPr>
          <w:i/>
          <w:iCs/>
        </w:rPr>
        <w:t xml:space="preserve">Compiled by Claude, September 2026, under Free Reign Mode / TriSweep. Covers: project identity, the World Affinity system, the Personal (Trainer) Affinity system, Resonance, EV/IV training, and the custom-species/Fusion architecture. See the Authorities Archive for the status-tag legend and F.R.M./sweep rules governing this document. Later parts (Legendary Domains, breeding/life system, Pokémon variants, factions, mods) are in progress.</w:t>
      </w:r>
    </w:p>
    <w:p>
      <w:pPr>
        <w:pStyle w:val="Heading2"/>
        <w:spacing w:after="150" w:before="300"/>
      </w:pPr>
      <w:r>
        <w:t xml:space="preserve">1. Project Identity</w:t>
      </w:r>
    </w:p>
    <w:p>
      <w:pPr>
        <w:spacing w:after="120"/>
      </w:pPr>
      <w:r>
        <w:t xml:space="preserve">Name: Cobblemon: Ecological Resonance (C.E.R. / E.R.). Status: 🔒 Locked — chosen after extensive comparison against “Resonance of the Living World,” “The Living World,” “Reawakening,” and others. “Project Riispawn” is retained as an internal development codename, separate from the public title.</w:t>
      </w:r>
    </w:p>
    <w:p>
      <w:pPr>
        <w:spacing w:after="120"/>
      </w:pPr>
      <w:r>
        <w:t xml:space="preserve">Core fantasy: the world isn't dead — it's damaged, dormant, and trying to heal. The player becomes an agent of ecological restoration; Pokémon, Resonance, exploration, research, and rebuilding all feed into one another rather than existing as separate feature trees.</w:t>
      </w:r>
    </w:p>
    <w:p>
      <w:pPr>
        <w:spacing w:after="120"/>
      </w:pPr>
      <w:r>
        <w:t xml:space="preserve">The C.E.R./E.R. initialism doubles as a deliberate “Emergency Room” motif: the world is treated as a patient, restoration as treatment, Resonance as the diagnostic/connection mechanism, and regions can be formally classified by percentage (“Ecological Resonance: 37% — Status: Critical” → “100% — Status: Resonant”). Not meant to be advertised outright to players — an internal layer of terminology they can gradually notice.</w:t>
      </w:r>
    </w:p>
    <w:p>
      <w:pPr>
        <w:spacing w:after="120"/>
      </w:pPr>
      <w:r>
        <w:t xml:space="preserve">Platform: Minecraft 1.21.1, NeoForge, Cobblemon, KubeJS-driven scripting layer, built as a distinct “Restoration Engine” layer on top of Cobblemon rather than trying to find one mod that does everything. Status: 🔒 Locked.</w:t>
      </w:r>
    </w:p>
    <w:p>
      <w:pPr>
        <w:spacing w:after="120"/>
      </w:pPr>
      <w:r>
        <w:t xml:space="preserve">Core design principles: Creation Over Crafting (C.O.C.) and Discovery Over Prescription (D.O.P.) — see the Authorities Archive. An explicit anti-pay-to-win principle also applies to any monetization if the pack or a standalone spinoff is ever distributed.</w:t>
      </w:r>
    </w:p>
    <w:p>
      <w:pPr>
        <w:pStyle w:val="Heading2"/>
        <w:spacing w:after="150" w:before="300"/>
      </w:pPr>
      <w:r>
        <w:t xml:space="preserve">2. World Affinity System</w:t>
      </w:r>
    </w:p>
    <w:p>
      <w:pPr>
        <w:spacing w:after="120"/>
      </w:pPr>
      <w:r>
        <w:t xml:space="preserve">The world has 18 independent Affinity values, one per Pokémon type, each starting at 0. Affinity is a separate attribute from a Pokémon's normal Pokémon type — a Pikachu keeps its Electric type while separately carrying an Affinity (e.g. Storm) that interacts with Ecological Resonance systems, not the type chart.</w:t>
      </w:r>
    </w:p>
    <w:p>
      <w:pPr>
        <w:spacing w:after="120"/>
      </w:pPr>
      <w:r>
        <w:t xml:space="preserve">0 doesn't mean a type is impossible to encounter — it means “the world has forgotten this type.” Rare remnants can still exist via special encounters, structures, and fossils even at 0.</w:t>
      </w:r>
    </w:p>
    <w:p>
      <w:pPr>
        <w:pStyle w:val="Heading3"/>
        <w:spacing w:after="100" w:before="200"/>
      </w:pPr>
      <w:r>
        <w:t xml:space="preserve">World state by affinity value (0–999, with 1000 = fully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Affinity value</w:t>
            </w:r>
          </w:p>
        </w:tc>
        <w:tc>
          <w:tcPr>
            <w:tcW w:type="dxa" w:w="6800"/>
            <w:shd w:fill="D9D9D9" w:val="clear"/>
          </w:tcPr>
          <w:p>
            <w:r>
              <w:rPr>
                <w:b/>
                <w:bCs/>
              </w:rPr>
              <w:t xml:space="preserve">World state</w:t>
            </w:r>
          </w:p>
        </w:tc>
      </w:tr>
      <w:tr>
        <w:tc>
          <w:tcPr>
            <w:tcW w:type="dxa" w:w="2200"/>
          </w:tcPr>
          <w:p>
            <w:r>
              <w:t xml:space="preserve">0–99</w:t>
            </w:r>
          </w:p>
        </w:tc>
        <w:tc>
          <w:tcPr>
            <w:tcW w:type="dxa" w:w="6800"/>
          </w:tcPr>
          <w:p>
            <w:r>
              <w:t xml:space="preserve">Forgotten</w:t>
            </w:r>
          </w:p>
        </w:tc>
      </w:tr>
      <w:tr>
        <w:tc>
          <w:tcPr>
            <w:tcW w:type="dxa" w:w="2200"/>
          </w:tcPr>
          <w:p>
            <w:r>
              <w:t xml:space="preserve">100–249</w:t>
            </w:r>
          </w:p>
        </w:tc>
        <w:tc>
          <w:tcPr>
            <w:tcW w:type="dxa" w:w="6800"/>
          </w:tcPr>
          <w:p>
            <w:r>
              <w:t xml:space="preserve">Stirring</w:t>
            </w:r>
          </w:p>
        </w:tc>
      </w:tr>
      <w:tr>
        <w:tc>
          <w:tcPr>
            <w:tcW w:type="dxa" w:w="2200"/>
          </w:tcPr>
          <w:p>
            <w:r>
              <w:t xml:space="preserve">250–499</w:t>
            </w:r>
          </w:p>
        </w:tc>
        <w:tc>
          <w:tcPr>
            <w:tcW w:type="dxa" w:w="6800"/>
          </w:tcPr>
          <w:p>
            <w:r>
              <w:t xml:space="preserve">Returning</w:t>
            </w:r>
          </w:p>
        </w:tc>
      </w:tr>
      <w:tr>
        <w:tc>
          <w:tcPr>
            <w:tcW w:type="dxa" w:w="2200"/>
          </w:tcPr>
          <w:p>
            <w:r>
              <w:t xml:space="preserve">500–749</w:t>
            </w:r>
          </w:p>
        </w:tc>
        <w:tc>
          <w:tcPr>
            <w:tcW w:type="dxa" w:w="6800"/>
          </w:tcPr>
          <w:p>
            <w:r>
              <w:t xml:space="preserve">Established</w:t>
            </w:r>
          </w:p>
        </w:tc>
      </w:tr>
      <w:tr>
        <w:tc>
          <w:tcPr>
            <w:tcW w:type="dxa" w:w="2200"/>
          </w:tcPr>
          <w:p>
            <w:r>
              <w:t xml:space="preserve">750–899</w:t>
            </w:r>
          </w:p>
        </w:tc>
        <w:tc>
          <w:tcPr>
            <w:tcW w:type="dxa" w:w="6800"/>
          </w:tcPr>
          <w:p>
            <w:r>
              <w:t xml:space="preserve">Thriving</w:t>
            </w:r>
          </w:p>
        </w:tc>
      </w:tr>
      <w:tr>
        <w:tc>
          <w:tcPr>
            <w:tcW w:type="dxa" w:w="2200"/>
          </w:tcPr>
          <w:p>
            <w:r>
              <w:t xml:space="preserve">900–999</w:t>
            </w:r>
          </w:p>
        </w:tc>
        <w:tc>
          <w:tcPr>
            <w:tcW w:type="dxa" w:w="6800"/>
          </w:tcPr>
          <w:p>
            <w:r>
              <w:t xml:space="preserve">Dominant</w:t>
            </w:r>
          </w:p>
        </w:tc>
      </w:tr>
      <w:tr>
        <w:tc>
          <w:tcPr>
            <w:tcW w:type="dxa" w:w="2200"/>
          </w:tcPr>
          <w:p>
            <w:r>
              <w:t xml:space="preserve">1000</w:t>
            </w:r>
          </w:p>
        </w:tc>
        <w:tc>
          <w:tcPr>
            <w:tcW w:type="dxa" w:w="6800"/>
          </w:tcPr>
          <w:p>
            <w:r>
              <w:t xml:space="preserve">Restored</w:t>
            </w:r>
          </w:p>
        </w:tc>
      </w:tr>
    </w:tbl>
    <w:p>
      <w:pPr>
        <w:spacing w:after="120"/>
      </w:pPr>
      <w:r>
        <w:t xml:space="preserve">Status: 🟢 Strong reconstruction — this is the earliest full articulation of the system and stayed structurally consistent through later discussion, though exact numeric thresholds should be treated as tunable, not locked.</w:t>
      </w:r>
    </w:p>
    <w:p>
      <w:pPr>
        <w:pStyle w:val="Heading3"/>
        <w:spacing w:after="100" w:before="200"/>
      </w:pPr>
      <w:r>
        <w:t xml:space="preserve">Ecological effect, not just a spawn switch</w:t>
      </w:r>
    </w:p>
    <w:p>
      <w:pPr>
        <w:spacing w:after="120"/>
      </w:pPr>
      <w:r>
        <w:t xml:space="preserve">High affinity in one type actively reshapes what can live in the world via an Affinity Matrix of relationship weights (e.g. high Fire suppresses Grass/Bug/Ice spawn weight while barely touching Psychic/Normal/Fairy) — explicitly decoupled from Pokémon-type battle weaknesses, since ecological relationships and battle match-ups are different axes that happen to correlate sometimes, not always.</w:t>
      </w:r>
    </w:p>
    <w:p>
      <w:pPr>
        <w:spacing w:after="120"/>
      </w:pPr>
      <w:r>
        <w:t xml:space="preserve">Final spawn weight is conceptually: Base Species Weight × Biome Weight × Type Affinity Modifier × Counter-Affinity Modifier × Restoration Modifier × Player/World Unlock Modifier. Suppressed types become ecologically unlikely, not forbidden.</w:t>
      </w:r>
    </w:p>
    <w:p>
      <w:pPr>
        <w:pStyle w:val="Heading3"/>
        <w:spacing w:after="100" w:before="200"/>
      </w:pPr>
      <w:r>
        <w:t xml:space="preserve">How affinity is generated</w:t>
      </w:r>
    </w:p>
    <w:p>
      <w:pPr>
        <w:spacing w:after="120"/>
      </w:pPr>
      <w:r>
        <w:t xml:space="preserve">Capturing matters far more than killing (encounter +0.1, defeat +0.5, catch +3, raise/evolve +5, restore habitat +50, as illustrative starting values) — the system is meant to reward care/restoration/preservation over farm-and-kill loops. Negative actions (extinguishing fires, killing Pokémon of a type, actively working against a habitat) apply small penalties, deliberately kept tiny so players can't accidentally wreck an ecosystem by routine play.</w:t>
      </w:r>
    </w:p>
    <w:p>
      <w:pPr>
        <w:spacing w:after="120"/>
      </w:pPr>
      <w:r>
        <w:t xml:space="preserve">Affinity decays very slowly toward equilibrium (illustrative: ~1 point/Minecraft day) rather than requiring constant maintenance, and generation scales through three phases: Phase I — manual player interaction; Phase II — infrastructure (industrial furnace, aqueduct, irrigation network, power station generating affinity/day); Phase III — Stabilization, where a late-game Affinity Stabilizer locks an ecosystem's value so it stops decaying, i.e. permanently restored. Magic (e.g. Ars Nouveau rituals, Occultism spirit binding) was proposed as the stabilizing counterpart to Create/tech's generating role.</w:t>
      </w:r>
    </w:p>
    <w:p>
      <w:pPr>
        <w:pStyle w:val="Heading3"/>
        <w:spacing w:after="100" w:before="200"/>
      </w:pPr>
      <w:r>
        <w:t xml:space="preserve">Safeguards</w:t>
      </w:r>
    </w:p>
    <w:p>
      <w:pPr>
        <w:pStyle w:val="ListParagraph"/>
        <w:numPr>
          <w:ilvl w:val="0"/>
          <w:numId w:val="1"/>
        </w:numPr>
        <w:spacing w:after="60"/>
      </w:pPr>
      <w:r>
        <w:t xml:space="preserve">Minimum ecosystem floors (e.g. a type cannot naturally fall below ~10% baseline) to prevent an irrecoverable death-spiral where a suppressed type's own suppression drives it further down.</w:t>
      </w:r>
    </w:p>
    <w:p>
      <w:pPr>
        <w:pStyle w:val="ListParagraph"/>
        <w:numPr>
          <w:ilvl w:val="0"/>
          <w:numId w:val="1"/>
        </w:numPr>
        <w:spacing w:after="60"/>
      </w:pPr>
      <w:r>
        <w:t xml:space="preserve">Affinity refuges — protected locations (Ancient Grove, Frozen Sanctuary, Sacred Lake, Dragon Shrine, etc.) where a specific type's affinity has a raised floor, explaining why a suppressed type still survives somewhere and giving exploration a reason to exist.</w:t>
      </w:r>
    </w:p>
    <w:p>
      <w:pPr>
        <w:pStyle w:val="ListParagraph"/>
        <w:numPr>
          <w:ilvl w:val="0"/>
          <w:numId w:val="1"/>
        </w:numPr>
        <w:spacing w:after="60"/>
      </w:pPr>
      <w:r>
        <w:t xml:space="preserve">A hidden World Balance value measuring how unevenly the 18 affinities are distributed — the true late-game objective isn't “restore all 18 to 100,” it's restore balance between them, tying into the implied mystery of why the ancient civilization removed Pokémon in the first place (possibly an attempt to control World Balance, not the Pokémon themselves). Status: 🟡 Candidate — evocative worldbuilding hook, not confirmed as locked story canon.</w:t>
      </w:r>
    </w:p>
    <w:p>
      <w:pPr>
        <w:pStyle w:val="Heading3"/>
        <w:spacing w:after="100" w:before="200"/>
      </w:pPr>
      <w:r>
        <w:t xml:space="preserve">Visibility to the player</w:t>
      </w:r>
    </w:p>
    <w:p>
      <w:pPr>
        <w:spacing w:after="120"/>
      </w:pPr>
      <w:r>
        <w:t xml:space="preserve">World Affinity is meant to be felt environmentally (embers appearing at 100 Fire, volcanic activity at 500, rare species at 900, etc.) before it's read numerically. An early central hub UI concept (“Affinity Observatory”, later folded into what the memory export calls the Restoration Observatory) shows all 18 as bar readouts; portable versions were proposed as a Resonance Compass (qualitative flavor text) upgrading to a Resonance Scanner (exact numbers) as a progression reward. Status: 🟡 Candidate/❓ needs verification against later Observatory naming — “Affinity Observatory” here vs. “Restoration Observatory” in later material appear to be the same concept under evolved naming.</w:t>
      </w:r>
    </w:p>
    <w:p>
      <w:pPr>
        <w:pStyle w:val="Heading3"/>
        <w:spacing w:after="100" w:before="200"/>
      </w:pPr>
      <w:r>
        <w:t xml:space="preserve">High-affinity encounters (“Nobles”)</w:t>
      </w:r>
    </w:p>
    <w:p>
      <w:pPr>
        <w:spacing w:after="120"/>
      </w:pPr>
      <w:r>
        <w:t xml:space="preserve">At the originating point in the conversation, extremely high single-type affinity (750/900/1000) was proposed to produce rare species, then a special “Noble” encounter, framed as the spirit/guardian of a restored ecosystem rather than simply a stronger Pokémon; defeating/capturing/appeasing a Noble could stabilize that type's affinity outright. Status: ❓ Needs verification — later material (see Section 3 forward and the ChatGPT memory export) discusses Legendary/Mythical recognition and Domain Authority in terms that look like an evolution of this same idea; whether “Noble” survived as separate terminology or was fully absorbed into the Legendary Domain system isn't resolved in pt1–pt3 alone. Flagging for cross-reference in Part 2.</w:t>
      </w:r>
    </w:p>
    <w:p>
      <w:pPr>
        <w:pStyle w:val="Heading2"/>
        <w:spacing w:after="150" w:before="300"/>
      </w:pPr>
      <w:r>
        <w:t xml:space="preserve">3. Personal (Trainer) Affinity System</w:t>
      </w:r>
    </w:p>
    <w:p>
      <w:pPr>
        <w:spacing w:after="120"/>
      </w:pPr>
      <w:r>
        <w:t xml:space="preserve">Deliberately given a different job from World Affinity so both remain worth pursuing: World Affinity determines what the world can provide; Personal Affinity determines what the player can personally do with it. A player can be a Personal Fire specialist in a world that's still ecologically starved of Fire, or vice versa — neither meter can substitute for the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Personal level</w:t>
            </w:r>
          </w:p>
        </w:tc>
        <w:tc>
          <w:tcPr>
            <w:tcW w:type="dxa" w:w="6800"/>
            <w:shd w:fill="D9D9D9" w:val="clear"/>
          </w:tcPr>
          <w:p>
            <w:r>
              <w:rPr>
                <w:b/>
                <w:bCs/>
              </w:rPr>
              <w:t xml:space="preserve">Effect</w:t>
            </w:r>
          </w:p>
        </w:tc>
      </w:tr>
      <w:tr>
        <w:tc>
          <w:tcPr>
            <w:tcW w:type="dxa" w:w="2200"/>
          </w:tcPr>
          <w:p>
            <w:r>
              <w:t xml:space="preserve">10</w:t>
            </w:r>
          </w:p>
        </w:tc>
        <w:tc>
          <w:tcPr>
            <w:tcW w:type="dxa" w:w="6800"/>
          </w:tcPr>
          <w:p>
            <w:r>
              <w:t xml:space="preserve">Basic type recognition</w:t>
            </w:r>
          </w:p>
        </w:tc>
      </w:tr>
      <w:tr>
        <w:tc>
          <w:tcPr>
            <w:tcW w:type="dxa" w:w="2200"/>
          </w:tcPr>
          <w:p>
            <w:r>
              <w:t xml:space="preserve">25</w:t>
            </w:r>
          </w:p>
        </w:tc>
        <w:tc>
          <w:tcPr>
            <w:tcW w:type="dxa" w:w="6800"/>
          </w:tcPr>
          <w:p>
            <w:r>
              <w:t xml:space="preserve">Type-related interactions improve</w:t>
            </w:r>
          </w:p>
        </w:tc>
      </w:tr>
      <w:tr>
        <w:tc>
          <w:tcPr>
            <w:tcW w:type="dxa" w:w="2200"/>
          </w:tcPr>
          <w:p>
            <w:r>
              <w:t xml:space="preserve">50</w:t>
            </w:r>
          </w:p>
        </w:tc>
        <w:tc>
          <w:tcPr>
            <w:tcW w:type="dxa" w:w="6800"/>
          </w:tcPr>
          <w:p>
            <w:r>
              <w:t xml:space="preserve">Specialist abilities unlock</w:t>
            </w:r>
          </w:p>
        </w:tc>
      </w:tr>
      <w:tr>
        <w:tc>
          <w:tcPr>
            <w:tcW w:type="dxa" w:w="2200"/>
          </w:tcPr>
          <w:p>
            <w:r>
              <w:t xml:space="preserve">75</w:t>
            </w:r>
          </w:p>
        </w:tc>
        <w:tc>
          <w:tcPr>
            <w:tcW w:type="dxa" w:w="6800"/>
          </w:tcPr>
          <w:p>
            <w:r>
              <w:t xml:space="preserve">Advanced type perks</w:t>
            </w:r>
          </w:p>
        </w:tc>
      </w:tr>
      <w:tr>
        <w:tc>
          <w:tcPr>
            <w:tcW w:type="dxa" w:w="2200"/>
          </w:tcPr>
          <w:p>
            <w:r>
              <w:t xml:space="preserve">90</w:t>
            </w:r>
          </w:p>
        </w:tc>
        <w:tc>
          <w:tcPr>
            <w:tcW w:type="dxa" w:w="6800"/>
          </w:tcPr>
          <w:p>
            <w:r>
              <w:t xml:space="preserve">Mastery</w:t>
            </w:r>
          </w:p>
        </w:tc>
      </w:tr>
      <w:tr>
        <w:tc>
          <w:tcPr>
            <w:tcW w:type="dxa" w:w="2200"/>
          </w:tcPr>
          <w:p>
            <w:r>
              <w:t xml:space="preserve">100</w:t>
            </w:r>
          </w:p>
        </w:tc>
        <w:tc>
          <w:tcPr>
            <w:tcW w:type="dxa" w:w="6800"/>
          </w:tcPr>
          <w:p>
            <w:r>
              <w:t xml:space="preserve">Type specialization / capstone</w:t>
            </w:r>
          </w:p>
        </w:tc>
      </w:tr>
    </w:tbl>
    <w:p>
      <w:pPr>
        <w:spacing w:after="120"/>
      </w:pPr>
      <w:r>
        <w:t xml:space="preserve">(World Affinity has its own separate milestone table — 10/25/50/75/90/95+/100 — governing ecosystem/species availability rather than player capability; see Section 2.)</w:t>
      </w:r>
    </w:p>
    <w:p>
      <w:pPr>
        <w:pStyle w:val="Heading3"/>
        <w:spacing w:after="100" w:before="200"/>
      </w:pPr>
      <w:r>
        <w:t xml:space="preserve">Capacity, not a checklist</w:t>
      </w:r>
    </w:p>
    <w:p>
      <w:pPr>
        <w:spacing w:after="120"/>
      </w:pPr>
      <w:r>
        <w:t xml:space="preserve">Players cannot maintain all 18 personal affinities at full strength — an Affinity Capacity limits how many can be Active at once (illustrative progression: 2 at the start → 3 early → 4 mid → 5 advanced → 6 endgame → 7–8 at mastery). Everything discovered beyond that capacity becomes Dormant — preserved, not lost, and drifting slowly toward a baseline unless stabilized. Changing the active loadout (“Resonate” to activate, “Release”/“Severance” to deactivate) happens at a Resonance Shrine / Attunement Chamber, with a resource/time/cooldown cost that eases as the player builds a proper Attunement Chamber later on.</w:t>
      </w:r>
    </w:p>
    <w:p>
      <w:pPr>
        <w:pStyle w:val="Heading3"/>
        <w:spacing w:after="100" w:before="200"/>
      </w:pPr>
      <w:r>
        <w:t xml:space="preserve">Resonance Energy and type relationships</w:t>
      </w:r>
    </w:p>
    <w:p>
      <w:pPr>
        <w:spacing w:after="120"/>
      </w:pPr>
      <w:r>
        <w:t xml:space="preserve">Active personal affinities feed a dedicated resource, Resonance Energy (distinct from vanilla XP), which governs max energy, regen rate, ability costs, and training bonuses. Type pairs fall into three relationship categories:</w:t>
      </w:r>
    </w:p>
    <w:p>
      <w:pPr>
        <w:pStyle w:val="ListParagraph"/>
        <w:numPr>
          <w:ilvl w:val="0"/>
          <w:numId w:val="1"/>
        </w:numPr>
        <w:spacing w:after="60"/>
      </w:pPr>
      <w:r>
        <w:t xml:space="preserve">Harmonized (e.g. Water+Ice, Fire+Steel, Grass+Water, Psychic+Fairy, Ghost+Dark, Ground+Rock): active together, they add a synergy bonus (illustrative +15% Resonance Energy, +10% related ability efficiency) rather than just summing.</w:t>
      </w:r>
    </w:p>
    <w:p>
      <w:pPr>
        <w:pStyle w:val="ListParagraph"/>
        <w:numPr>
          <w:ilvl w:val="0"/>
          <w:numId w:val="1"/>
        </w:numPr>
        <w:spacing w:after="60"/>
      </w:pPr>
      <w:r>
        <w:t xml:space="preserve">Neutral: no special interaction.</w:t>
      </w:r>
    </w:p>
    <w:p>
      <w:pPr>
        <w:pStyle w:val="ListParagraph"/>
        <w:numPr>
          <w:ilvl w:val="0"/>
          <w:numId w:val="1"/>
        </w:numPr>
        <w:spacing w:after="60"/>
      </w:pPr>
      <w:r>
        <w:t xml:space="preserve">Conflicting (e.g. Electric+Ground): active together, they impose a penalty (illustrative -15% Energy regen, +10% ability cost) without being blocked outright — the player can still choose both, they just pay for it.</w:t>
      </w:r>
    </w:p>
    <w:p>
      <w:pPr>
        <w:spacing w:after="120"/>
      </w:pPr>
      <w:r>
        <w:t xml:space="preserve">A late-game Affinity Imprinting mechanic lets a player preserve a small passive effect from a formerly-active affinity without it counting against their normal capacity, rewarding long-term investment without forcing every player into max-strength generalists.</w:t>
      </w:r>
    </w:p>
    <w:p>
      <w:pPr>
        <w:spacing w:after="120"/>
      </w:pPr>
      <w:r>
        <w:t xml:space="preserve">Status: 🟢 Strong reconstruction for the overall shape (capacity, dormant/active, harmonized/conflicting, Resonance Energy). Exact numeric bonuses/penalties throughout this section are illustrative examples from the original brainstorm, not locked balance values.</w:t>
      </w:r>
    </w:p>
    <w:p>
      <w:pPr>
        <w:pStyle w:val="Heading2"/>
        <w:spacing w:after="150" w:before="300"/>
      </w:pPr>
      <w:r>
        <w:t xml:space="preserve">4. Resonance (general concept)</w:t>
      </w:r>
    </w:p>
    <w:p>
      <w:pPr>
        <w:spacing w:after="120"/>
      </w:pPr>
      <w:r>
        <w:t xml:space="preserve">Resonance is the central connective concept linking Pokémon, the world, types, the player, ecology, technology, resources, and restoration — explicitly not meant to function as merely another mana bar. It is the mechanism referenced throughout the Affinity systems above (Resonance Energy, Resonance Shrine, Resonance Compass/Scanner) as well as in Fusion (“Resonance Synthesis”, referenced in Section 5) and the eventual Resonance Hearts / Legendary recognition system covered in Part 2. Status: 🟢 Strong reconstruction (per the ChatGPT memory export, cross-checked against the transcripts); full mechanical definition (Resonance Signature, Resonance Aura, Resonance Synthesis specifics) is reserved for Part 2 given how deeply it's entangled with Fusion/Shadow/breeding, which hasn't been fully extracted yet.</w:t>
      </w:r>
    </w:p>
    <w:p>
      <w:pPr>
        <w:pStyle w:val="Heading2"/>
        <w:spacing w:after="150" w:before="300"/>
      </w:pPr>
      <w:r>
        <w:t xml:space="preserve">5. Virtual EV/IV Training System</w:t>
      </w:r>
    </w:p>
    <w:p>
      <w:pPr>
        <w:spacing w:after="120"/>
      </w:pPr>
      <w:r>
        <w:t xml:space="preserve">Rather than vanilla EV-grinding, the player uses a machine (working name: Battle Resonator, built with Create + magic) to run virtual training programs on a Pokémon.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Training program</w:t>
            </w:r>
          </w:p>
        </w:tc>
        <w:tc>
          <w:tcPr>
            <w:tcW w:type="dxa" w:w="6800"/>
            <w:shd w:fill="D9D9D9" w:val="clear"/>
          </w:tcPr>
          <w:p>
            <w:r>
              <w:rPr>
                <w:b/>
                <w:bCs/>
              </w:rPr>
              <w:t xml:space="preserve">EV gained</w:t>
            </w:r>
          </w:p>
        </w:tc>
      </w:tr>
      <w:tr>
        <w:tc>
          <w:tcPr>
            <w:tcW w:type="dxa" w:w="2200"/>
          </w:tcPr>
          <w:p>
            <w:r>
              <w:t xml:space="preserve">Strength</w:t>
            </w:r>
          </w:p>
        </w:tc>
        <w:tc>
          <w:tcPr>
            <w:tcW w:type="dxa" w:w="6800"/>
          </w:tcPr>
          <w:p>
            <w:r>
              <w:t xml:space="preserve">Attack</w:t>
            </w:r>
          </w:p>
        </w:tc>
      </w:tr>
      <w:tr>
        <w:tc>
          <w:tcPr>
            <w:tcW w:type="dxa" w:w="2200"/>
          </w:tcPr>
          <w:p>
            <w:r>
              <w:t xml:space="preserve">Fortification</w:t>
            </w:r>
          </w:p>
        </w:tc>
        <w:tc>
          <w:tcPr>
            <w:tcW w:type="dxa" w:w="6800"/>
          </w:tcPr>
          <w:p>
            <w:r>
              <w:t xml:space="preserve">Defense</w:t>
            </w:r>
          </w:p>
        </w:tc>
      </w:tr>
      <w:tr>
        <w:tc>
          <w:tcPr>
            <w:tcW w:type="dxa" w:w="2200"/>
          </w:tcPr>
          <w:p>
            <w:r>
              <w:t xml:space="preserve">Vitality</w:t>
            </w:r>
          </w:p>
        </w:tc>
        <w:tc>
          <w:tcPr>
            <w:tcW w:type="dxa" w:w="6800"/>
          </w:tcPr>
          <w:p>
            <w:r>
              <w:t xml:space="preserve">HP</w:t>
            </w:r>
          </w:p>
        </w:tc>
      </w:tr>
      <w:tr>
        <w:tc>
          <w:tcPr>
            <w:tcW w:type="dxa" w:w="2200"/>
          </w:tcPr>
          <w:p>
            <w:r>
              <w:t xml:space="preserve">Meditation</w:t>
            </w:r>
          </w:p>
        </w:tc>
        <w:tc>
          <w:tcPr>
            <w:tcW w:type="dxa" w:w="6800"/>
          </w:tcPr>
          <w:p>
            <w:r>
              <w:t xml:space="preserve">Sp. Atk</w:t>
            </w:r>
          </w:p>
        </w:tc>
      </w:tr>
      <w:tr>
        <w:tc>
          <w:tcPr>
            <w:tcW w:type="dxa" w:w="2200"/>
          </w:tcPr>
          <w:p>
            <w:r>
              <w:t xml:space="preserve">Focus</w:t>
            </w:r>
          </w:p>
        </w:tc>
        <w:tc>
          <w:tcPr>
            <w:tcW w:type="dxa" w:w="6800"/>
          </w:tcPr>
          <w:p>
            <w:r>
              <w:t xml:space="preserve">Sp. Def</w:t>
            </w:r>
          </w:p>
        </w:tc>
      </w:tr>
      <w:tr>
        <w:tc>
          <w:tcPr>
            <w:tcW w:type="dxa" w:w="2200"/>
          </w:tcPr>
          <w:p>
            <w:r>
              <w:t xml:space="preserve">Agility</w:t>
            </w:r>
          </w:p>
        </w:tc>
        <w:tc>
          <w:tcPr>
            <w:tcW w:type="dxa" w:w="6800"/>
          </w:tcPr>
          <w:p>
            <w:r>
              <w:t xml:space="preserve">Speed</w:t>
            </w:r>
          </w:p>
        </w:tc>
      </w:tr>
    </w:tbl>
    <w:p>
      <w:pPr>
        <w:spacing w:after="120"/>
      </w:pPr>
      <w:r>
        <w:t xml:space="preserve">EVs are deliberately easy: virtual, automatable, resettable with special items. IVs are deliberately hard: expensive, requiring rare materials and late-game magic/tech, possibly capped at certain stages, with a perfect IV treated as a genuine endgame accomplishment (e.g. a “Genetic Resonator” reforging one IV by +1 at high cost). Training facilities were proposed to interact with World/Personal Affinity — e.g. higher Fire affinity makes Fire-focused training cheaper — tying competitive Pokémon-building back into the restoration loop instead of decoupling it. Status: 🟢 Strong reconstruction; fully configurable numbers (exact EV gain, IV cost, training time, resource requirements) were explicitly left open for later tuning.</w:t>
      </w:r>
    </w:p>
    <w:p>
      <w:pPr>
        <w:pStyle w:val="Heading2"/>
        <w:spacing w:after="150" w:before="300"/>
      </w:pPr>
      <w:r>
        <w:t xml:space="preserve">6. Custom Species / Fusion Technical Architecture</w:t>
      </w:r>
    </w:p>
    <w:p>
      <w:pPr>
        <w:spacing w:after="120"/>
      </w:pPr>
      <w:r>
        <w:t xml:space="preserve">Confirmed technically feasible and mapped out in detail: Poke Fusion (the fusion mod) only needs to know a result's Cobblemon species ID — it does not need to understand or generate the model itself. The pipeline is: Poke Fusion recipe (two input speciesIds → one result speciesId) → Cobblemon looks up that species → the species' resolver points to its model/texture/poser/animations → Cobblemon renders it like any other Pokémon.</w:t>
      </w:r>
    </w:p>
    <w:p>
      <w:pPr>
        <w:spacing w:after="120"/>
      </w:pPr>
      <w:r>
        <w:t xml:space="preserve">A custom Fakemon therefore needs: a species JSON (gameplay data — stats, types, abilities, catch rate, egg groups, etc.), a Blockbench model (.geo.json), texture(s) including a shiny variant, a resolver (the file that actually links species → model/texture/poser), a poser (idle/walk/battle/cry/faint animation bindings), and a lang file entry (name + Pokédex description). All of it should live under a dedicated namespace (e.g. ecoresonance:) rather than colliding with Cobblemon's own species IDs.</w:t>
      </w:r>
    </w:p>
    <w:p>
      <w:pPr>
        <w:spacing w:after="120"/>
      </w:pPr>
      <w:r>
        <w:t xml:space="preserve">Proposed fusion categories to structure the eventual system: Genetic Fusion (two existing Pokémon), Affinity Fusion (elemental resonance-driven), Shadow Fusion, Restoration Fusion (ancient Pokémon restored via resonance), Fakemon Fusion, Triple Fusion, Corrupted Fusion (failed resonance — a dangerous result), and Perfect Resonance (extremely rare, legendary-tier). A single fused species can also carry its own aspects/visual variants (normal/shadow/stellar/perfected/unstable/awakened) via Cobblemon's existing resolver/aspect system, meaning the fusion result itself can have its own further progression rather than being a dead end. Status: 🕒 Locked for the technical pipeline (this is implementation-verified against actual Cobblemon/Poke Fusion documentation, not just a design idea); 🟡 Candidate for the specific fusion-category list, which reads as an illustrative menu rather than a finalized taxonomy.</w:t>
      </w:r>
    </w:p>
    <w:p>
      <w:pPr>
        <w:pStyle w:val="Heading2"/>
        <w:spacing w:after="150" w:before="300"/>
      </w:pPr>
      <w:r>
        <w:t xml:space="preserve">Open threads for Part 2</w:t>
      </w:r>
    </w:p>
    <w:p>
      <w:pPr>
        <w:pStyle w:val="ListParagraph"/>
        <w:numPr>
          <w:ilvl w:val="0"/>
          <w:numId w:val="1"/>
        </w:numPr>
        <w:spacing w:after="60"/>
      </w:pPr>
      <w:r>
        <w:t xml:space="preserve">Legendary Domains and how they relate to (or supersede) the early “Noble” concept above.</w:t>
      </w:r>
    </w:p>
    <w:p>
      <w:pPr>
        <w:pStyle w:val="ListParagraph"/>
        <w:numPr>
          <w:ilvl w:val="0"/>
          <w:numId w:val="1"/>
        </w:numPr>
        <w:spacing w:after="60"/>
      </w:pPr>
      <w:r>
        <w:t xml:space="preserve">Resonance Hearts, Virtues, and the Legendary/Mythical recognition system (per the memory export, narrowed to ~8–10 Hearts corresponding to Virtues).</w:t>
      </w:r>
    </w:p>
    <w:p>
      <w:pPr>
        <w:pStyle w:val="ListParagraph"/>
        <w:numPr>
          <w:ilvl w:val="0"/>
          <w:numId w:val="1"/>
        </w:numPr>
        <w:spacing w:after="60"/>
      </w:pPr>
      <w:r>
        <w:t xml:space="preserve">The life/retirement system (8 lives, retirement protocol, championship protocol).</w:t>
      </w:r>
    </w:p>
    <w:p>
      <w:pPr>
        <w:pStyle w:val="ListParagraph"/>
        <w:numPr>
          <w:ilvl w:val="0"/>
          <w:numId w:val="1"/>
        </w:numPr>
        <w:spacing w:after="60"/>
      </w:pPr>
      <w:r>
        <w:t xml:space="preserve">Shadow forms, Eeveelutions, Fusion/Fracture failure states, and Corruption.</w:t>
      </w:r>
    </w:p>
    <w:p>
      <w:pPr>
        <w:pStyle w:val="ListParagraph"/>
        <w:numPr>
          <w:ilvl w:val="0"/>
          <w:numId w:val="1"/>
        </w:numPr>
        <w:spacing w:after="60"/>
      </w:pPr>
      <w:r>
        <w:t xml:space="preserve">Breeding, materials (Type Gems/Plates/Drives, Terra Shards, Z-Crystals, Resonance Fossils).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2026-09-11T05:09:12.988Z</dcterms:created>
  <dcterms:modified xsi:type="dcterms:W3CDTF">2026-09-11T05:09:12.998Z</dcterms:modified>
</cp:coreProperties>
</file>

<file path=docProps/custom.xml><?xml version="1.0" encoding="utf-8"?>
<Properties xmlns="http://schemas.openxmlformats.org/officeDocument/2006/custom-properties" xmlns:vt="http://schemas.openxmlformats.org/officeDocument/2006/docPropsVTypes"/>
</file>