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6: Resonance Processing, Poképower &amp; the Gumball Selector</w:t>
      </w:r>
    </w:p>
    <w:p>
      <w:pPr>
        <w:spacing w:after="120"/>
      </w:pPr>
      <w:r>
        <w:rPr>
          <w:i/>
          <w:iCs/>
        </w:rPr>
        <w:t xml:space="preserve">Compiled by Claude, September 2026, under Free Reign Mode / TriSweep. Newly-swept material from pt3, not previously extracted: the Resonance Processing / Resonance Machine tech-progression system, Poképower, Drives (properly homed at last), the Apricorn Ingot latent-provenance material concept, C.E.R. Material Science as a Research category, and the Gumball selection mechanic paired with Memory Echo. Includes one F.R.M. terminology action — see Section 4.</w:t>
      </w:r>
    </w:p>
    <w:p>
      <w:pPr>
        <w:pStyle w:val="Heading2"/>
        <w:spacing w:after="150" w:before="300"/>
      </w:pPr>
      <w:r>
        <w:t xml:space="preserve">1. Resonance Processing &amp; Resonance Machines</w:t>
      </w:r>
    </w:p>
    <w:p>
      <w:pPr>
        <w:spacing w:after="120"/>
      </w:pPr>
      <w:r>
        <w:t xml:space="preserve">Official definitions, preserved close to as-written since both are marked Accepted status in the source material:</w:t>
      </w:r>
    </w:p>
    <w:p>
      <w:pPr>
        <w:spacing w:after="120"/>
      </w:pPr>
      <w:r>
        <w:t xml:space="preserve">Resonance Processing — the refinement of material (items, fluids, etc.) via a Resonance Machine.</w:t>
      </w:r>
    </w:p>
    <w:p>
      <w:pPr>
        <w:spacing w:after="120"/>
      </w:pPr>
      <w:r>
        <w:t xml:space="preserve">Resonance Machines — machines that produce refined outputs using Poképower as their primary energy source.</w:t>
      </w:r>
    </w:p>
    <w:p>
      <w:pPr>
        <w:spacing w:after="120"/>
      </w:pPr>
      <w:r>
        <w:t xml:space="preserve">Poképower is explicitly not a real energy type (not RF, AE, MI, or any modded power unit) — it's a conceptual resource representing Pokémon voluntarily performing useful work, a deliberate play on “horsepower.” A Resonance Machine's UI reflects this: instead of a bar reading “RF: 2,000/10,000”, it reads something like “Processing: Awaiting Pokémon / Required: Fire-type move / Input: Apricorn / Cast: Apricorn Ingot Cast.” The Pokémon is literally the power source, supplying labor through using an appropriate move on/at the machine.</w:t>
      </w:r>
    </w:p>
    <w:p>
      <w:pPr>
        <w:pStyle w:val="Heading2"/>
        <w:spacing w:after="150" w:before="300"/>
      </w:pPr>
      <w:r>
        <w:t xml:space="preserve">2. Drives — Properly Homed</w:t>
      </w:r>
    </w:p>
    <w:p>
      <w:pPr>
        <w:spacing w:after="120"/>
      </w:pPr>
      <w:r>
        <w:t xml:space="preserve">This resolves an open tension from earlier design passes: Drives were floated multiple times (Part 3's material families, Part 4's mod-architecture notes) but risked needing 18 variants to cover all types, which the project explicitly wanted to avoid. The Resonance Machine system gives Drives a cleaner job: a Drive defines what the machine is capable of doing, not which type it accepts.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Drive (examples, not finalized)</w:t>
            </w:r>
          </w:p>
        </w:tc>
        <w:tc>
          <w:tcPr>
            <w:tcW w:type="dxa" w:w="6400"/>
            <w:shd w:fill="D9D9D9" w:val="clear"/>
          </w:tcPr>
          <w:p>
            <w:r>
              <w:rPr>
                <w:b/>
                <w:bCs/>
              </w:rPr>
              <w:t xml:space="preserve">What it enables</w:t>
            </w:r>
          </w:p>
        </w:tc>
      </w:tr>
      <w:tr>
        <w:tc>
          <w:tcPr>
            <w:tcW w:type="dxa" w:w="2600"/>
          </w:tcPr>
          <w:p>
            <w:r>
              <w:t xml:space="preserve">Thermal Drive</w:t>
            </w:r>
          </w:p>
        </w:tc>
        <w:tc>
          <w:tcPr>
            <w:tcW w:type="dxa" w:w="6400"/>
          </w:tcPr>
          <w:p>
            <w:r>
              <w:t xml:space="preserve">Heat-based processing</w:t>
            </w:r>
          </w:p>
        </w:tc>
      </w:tr>
      <w:tr>
        <w:tc>
          <w:tcPr>
            <w:tcW w:type="dxa" w:w="2600"/>
          </w:tcPr>
          <w:p>
            <w:r>
              <w:t xml:space="preserve">Hydraulic Drive</w:t>
            </w:r>
          </w:p>
        </w:tc>
        <w:tc>
          <w:tcPr>
            <w:tcW w:type="dxa" w:w="6400"/>
          </w:tcPr>
          <w:p>
            <w:r>
              <w:t xml:space="preserve">Fluid processing</w:t>
            </w:r>
          </w:p>
        </w:tc>
      </w:tr>
      <w:tr>
        <w:tc>
          <w:tcPr>
            <w:tcW w:type="dxa" w:w="2600"/>
          </w:tcPr>
          <w:p>
            <w:r>
              <w:t xml:space="preserve">Cryogenic Drive</w:t>
            </w:r>
          </w:p>
        </w:tc>
        <w:tc>
          <w:tcPr>
            <w:tcW w:type="dxa" w:w="6400"/>
          </w:tcPr>
          <w:p>
            <w:r>
              <w:t xml:space="preserve">Freezing/refinement</w:t>
            </w:r>
          </w:p>
        </w:tc>
      </w:tr>
      <w:tr>
        <w:tc>
          <w:tcPr>
            <w:tcW w:type="dxa" w:w="2600"/>
          </w:tcPr>
          <w:p>
            <w:r>
              <w:t xml:space="preserve">Compression Drive</w:t>
            </w:r>
          </w:p>
        </w:tc>
        <w:tc>
          <w:tcPr>
            <w:tcW w:type="dxa" w:w="6400"/>
          </w:tcPr>
          <w:p>
            <w:r>
              <w:t xml:space="preserve">Pressure-based processing</w:t>
            </w:r>
          </w:p>
        </w:tc>
      </w:tr>
      <w:tr>
        <w:tc>
          <w:tcPr>
            <w:tcW w:type="dxa" w:w="2600"/>
          </w:tcPr>
          <w:p>
            <w:r>
              <w:t xml:space="preserve">Distillation Drive</w:t>
            </w:r>
          </w:p>
        </w:tc>
        <w:tc>
          <w:tcPr>
            <w:tcW w:type="dxa" w:w="6400"/>
          </w:tcPr>
          <w:p>
            <w:r>
              <w:t xml:space="preserve">Fluid separation</w:t>
            </w:r>
          </w:p>
        </w:tc>
      </w:tr>
      <w:tr>
        <w:tc>
          <w:tcPr>
            <w:tcW w:type="dxa" w:w="2600"/>
          </w:tcPr>
          <w:p>
            <w:r>
              <w:t xml:space="preserve">Resonance Drive</w:t>
            </w:r>
          </w:p>
        </w:tc>
        <w:tc>
          <w:tcPr>
            <w:tcW w:type="dxa" w:w="6400"/>
          </w:tcPr>
          <w:p>
            <w:r>
              <w:t xml:space="preserve">Affinity/resonance refinement</w:t>
            </w:r>
          </w:p>
        </w:tc>
      </w:tr>
      <w:tr>
        <w:tc>
          <w:tcPr>
            <w:tcW w:type="dxa" w:w="2600"/>
          </w:tcPr>
          <w:p>
            <w:r>
              <w:t xml:space="preserve">Transmutation Drive</w:t>
            </w:r>
          </w:p>
        </w:tc>
        <w:tc>
          <w:tcPr>
            <w:tcW w:type="dxa" w:w="6400"/>
          </w:tcPr>
          <w:p>
            <w:r>
              <w:t xml:space="preserve">Advanced material conversion</w:t>
            </w:r>
          </w:p>
        </w:tc>
      </w:tr>
    </w:tbl>
    <w:p>
      <w:pPr>
        <w:spacing w:after="120"/>
      </w:pPr>
      <w:r>
        <w:t xml:space="preserve">Critically, a Drive does not supply the Poképower itself — it tells the machine how to interpret the Pokémon's labor. A Thermal Drive doesn't require a “Fire Drive” for a Fire-type Pokémon specifically; it accepts Fire-based Poképower from whichever Pokémon and move fits, meaning roughly half a dozen Drives can flexibly cover all 18 types through appropriate move/Drive pairing rather than needing one Drive per type. Architecture, worth keeping in its own words: Drive = machine capability; Poképower = labor/input energy; Pokémon move = method of supplying that labor; raw material = thing being processed; cast/form = desired output shape.</w:t>
      </w:r>
    </w:p>
    <w:p>
      <w:pPr>
        <w:pStyle w:val="Heading2"/>
        <w:spacing w:after="150" w:before="300"/>
      </w:pPr>
      <w:r>
        <w:t xml:space="preserve">3. Machine Progression &amp; Tech Identity</w:t>
      </w:r>
    </w:p>
    <w:p>
      <w:pPr>
        <w:spacing w:after="120"/>
      </w:pPr>
      <w:r>
        <w:t xml:space="preserve">A two-stage unlock structure, deliberately built for Discovery Over Prescription — the player shouldn't start with a Swiss-army machine:</w:t>
      </w:r>
    </w:p>
    <w:p>
      <w:pPr>
        <w:pStyle w:val="ListParagraph"/>
        <w:numPr>
          <w:ilvl w:val="0"/>
          <w:numId w:val="1"/>
        </w:numPr>
        <w:spacing w:after="60"/>
      </w:pPr>
      <w:r>
        <w:t xml:space="preserve">Resonance Machine — basic machine, limited processing capability, no Drive slots yet.</w:t>
      </w:r>
    </w:p>
    <w:p>
      <w:pPr>
        <w:pStyle w:val="ListParagraph"/>
        <w:numPr>
          <w:ilvl w:val="0"/>
          <w:numId w:val="1"/>
        </w:numPr>
        <w:spacing w:after="60"/>
      </w:pPr>
      <w:r>
        <w:t xml:space="preserve">Resonance Interface — an upgrade/modification that unlocks Drive slots on an existing machine.</w:t>
      </w:r>
    </w:p>
    <w:p>
      <w:pPr>
        <w:pStyle w:val="ListParagraph"/>
        <w:numPr>
          <w:ilvl w:val="0"/>
          <w:numId w:val="1"/>
        </w:numPr>
        <w:spacing w:after="60"/>
      </w:pPr>
      <w:r>
        <w:t xml:space="preserve">Resonance Machine + Drive — the specialized result, once a Drive is installed.</w:t>
      </w:r>
    </w:p>
    <w:p>
      <w:pPr>
        <w:spacing w:after="120"/>
      </w:pPr>
      <w:r>
        <w:t xml:space="preserve">This reframes Tech progression's whole identity away from conventional “Furnace → Blast Furnace → Electric Furnace → Industrial Furnace” bigger-number tiers, and toward: Primitive Processing → Resonance Machine → Resonance Interface → Drive-based Specialization → Advanced Resonance Engineering. The story of the upgrade path is explicitly “we've learned how to cooperate with Pokémon to make technology work,” not “bigger machine number go brrrr” — phrasing preserved because it's a genuinely useful one-line design-intent check for anything added to this system later. Status: 🕒 Locked — both the core definitions and this progression were explicitly marked Accepted in the source material, not left as open brainstorming.</w:t>
      </w:r>
    </w:p>
    <w:p>
      <w:pPr>
        <w:pStyle w:val="Heading2"/>
        <w:spacing w:after="150" w:before="300"/>
      </w:pPr>
      <w:r>
        <w:t xml:space="preserve">4. Terminology Note (F.R.M. action)</w:t>
      </w:r>
    </w:p>
    <w:p>
      <w:pPr>
        <w:spacing w:after="120"/>
      </w:pPr>
      <w:r>
        <w:t xml:space="preserve">A naming collision exists in the source material: an earlier, separate discussion in pt3 also used “Resonance Machine” as a working label for an unrelated Pokémon-selection mechanic (Section 5 below). That mechanic's own primary name in the transcript is actually “Gumball Machine” — “Resonance Machine” only appears there as a loose secondary header once. Since the Poképower/Drive system's identity depends heavily on the “Resonance Machine” name (it's load-bearing across the whole Tech progression in Section 3), F.R.M. action: this archive refers to the selection mechanic as the Gumball Selector going forward, reserving “Resonance Machine” exclusively for the Poképower processing system. Flagging clearly in case Wesley would rather resolve the collision a different way — easy to revert since it's a naming choice, not a mechanic change.</w:t>
      </w:r>
    </w:p>
    <w:p>
      <w:pPr>
        <w:pStyle w:val="Heading2"/>
        <w:spacing w:after="150" w:before="300"/>
      </w:pPr>
      <w:r>
        <w:t xml:space="preserve">5. The Gumball Selector &amp; Memory Echo</w:t>
      </w:r>
    </w:p>
    <w:p>
      <w:pPr>
        <w:spacing w:after="120"/>
      </w:pPr>
      <w:r>
        <w:t xml:space="preserve">Two related-but-distinct reward/encounter systems, explicitly designed as counterparts rather than competing options. Both are described as active candidates in the source (not yet fully locked), with Wesley noting a lean toward Memory Echo as the preferred method by the end of the discussion.</w:t>
      </w:r>
    </w:p>
    <w:p>
      <w:pPr>
        <w:pStyle w:val="Heading3"/>
        <w:spacing w:after="100" w:before="200"/>
      </w:pPr>
      <w:r>
        <w:t xml:space="preserve">Gumball Selector</w:t>
      </w:r>
    </w:p>
    <w:p>
      <w:pPr>
        <w:spacing w:after="120"/>
      </w:pPr>
      <w:r>
        <w:t xml:space="preserve">Concerned with Pokémon specifically — “What Pokémon is resonating with this phenomenon?” A triggering event (e.g. a Water Resonance phenomenon) narrows a category/type pool, then presents exactly three candidate Pokémon drawn from that restricted pool (e.g. Feebas, Octillery, Wailmer for a Water trigger). The player chooses one. Randomness picks the three candidates; the player makes the final call — explicitly designed this way so rarity weighting can exist without the whole interaction feeling like gambling.</w:t>
      </w:r>
    </w:p>
    <w:p>
      <w:pPr>
        <w:pStyle w:val="Heading3"/>
        <w:spacing w:after="100" w:before="200"/>
      </w:pPr>
      <w:r>
        <w:t xml:space="preserve">Memory Echo</w:t>
      </w:r>
    </w:p>
    <w:p>
      <w:pPr>
        <w:spacing w:after="120"/>
      </w:pPr>
      <w:r>
        <w:t xml:space="preserve">Concerned with everything else the world remembers — “What did this place/world/person/system remember?” An Echo resolves into several visible manifestations the player approaches and chooses between, rather than the game silently granting a reward. Example manifestation set given directly in the source: a Pokémon silhouette, a strange item, a memory fragment, a research phenomenon. Possible Memory Echo outcomes: research discoveries, items, recipes, historical events, environmental phenomena, quest clues, lost technologies, faction information, rare resources, location clues, Virtue-related discoveries, and — very rarely — a Pokémon. That last case is deliberately rare specifically because it's the unexpected result, not the norm; the design intent is to keep the two systems from becoming competing reward boxes where players simply pick whichever gives better loot, by keeping their primary outputs different (Gumball Selector → Pokémon-oriented; Memory Echo → discovery/research/world-oriented) while leaving the rare cross-over as a genuine surprise rather than a strategy.</w:t>
      </w:r>
    </w:p>
    <w:p>
      <w:pPr>
        <w:spacing w:after="120"/>
      </w:pPr>
      <w:r>
        <w:t xml:space="preserve">Status: 🟡 Candidate for both systems and the exact implementation split; 🟢 Strong reconstruction for “both systems should coexist as counterparts, not compete” as a design principle, which reads as settled even though the mechanics themselves aren't locked.</w:t>
      </w:r>
    </w:p>
    <w:p>
      <w:pPr>
        <w:pStyle w:val="Heading2"/>
        <w:spacing w:after="150" w:before="300"/>
      </w:pPr>
      <w:r>
        <w:t xml:space="preserve">6. C.E.R. Material Science (Research category)</w:t>
      </w:r>
    </w:p>
    <w:p>
      <w:pPr>
        <w:spacing w:after="120"/>
      </w:pPr>
      <w:r>
        <w:t xml:space="preserve">Accepted as an actual Research category (see Part 3, Section 4 for the base Research/Field Journal system this extends), initial scope: Apricorn material behavior and latent provenance, Resonance Processing, Poképower and Pokémon–machine interactions, type/material interactions, and discovery of latent material properties. Explicitly not locked as final in-game terminology — flagged as possibly needing to split into Material Science / Resonance Engineering / Pokémon Biology later, or possibly needing Material Science to become the broader discipline containing Resonance Engineering. Narrative progression given for the category's flavor: “We know how to make it” → “We know how it works” → “We know why it works” → “We discovered something it was doing that we didn't understand.”</w:t>
      </w:r>
    </w:p>
    <w:p>
      <w:pPr>
        <w:pStyle w:val="Heading3"/>
        <w:spacing w:after="100" w:before="200"/>
      </w:pPr>
      <w:r>
        <w:t xml:space="preserve">Apricorn Ingots — latent provenance</w:t>
      </w:r>
    </w:p>
    <w:p>
      <w:pPr>
        <w:spacing w:after="120"/>
      </w:pPr>
      <w:r>
        <w:t xml:space="preserve">The initial worked example for C.E.R. Material Science. Chain: Apricorn → Resonance Processing → Apricorn Ingot (retains its source Apricorn's origin/identity) → later systems interpret that origin. Deliberately not a simple color-variant system — the ingot doesn't announce its origin's significance immediately; a later Resonance process might react differently to an ingot depending on which Apricorn it came from, discovered rather than labeled upfront. Exact implementation (NBT/data component/other attachment method) explicitly left open as a build-time decision. Status: 🕒 Locked for the concept and its D.O.P.-aligned design intent; 🟡 Candidate for implementation mechanics.</w:t>
      </w:r>
    </w:p>
    <w:p>
      <w:pPr>
        <w:pStyle w:val="Heading2"/>
        <w:spacing w:after="150" w:before="300"/>
      </w:pPr>
      <w:r>
        <w:t xml:space="preserve">Reconstruction note</w:t>
      </w:r>
    </w:p>
    <w:p>
      <w:pPr>
        <w:spacing w:after="120"/>
      </w:pPr>
      <w:r>
        <w:rPr>
          <w:i/>
          <w:iCs/>
        </w:rPr>
        <w:t xml:space="preserve">This part exists because a full transcript sweep specifically for “Resonance Processing” and “Resonance Machines” turned up substantial Accepted-status material that had not made it into Parts 1–5 — a useful reminder that the earlier five-part pass, while thorough, wasn't guaranteed exhaustive. If other named systems turn out to be similarly unswept, the same targeted-search approach is the fastest way to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2026-09-11T15:48:08.375Z</dcterms:created>
  <dcterms:modified xsi:type="dcterms:W3CDTF">2026-09-11T15:48:08.384Z</dcterms:modified>
</cp:coreProperties>
</file>

<file path=docProps/custom.xml><?xml version="1.0" encoding="utf-8"?>
<Properties xmlns="http://schemas.openxmlformats.org/officeDocument/2006/custom-properties" xmlns:vt="http://schemas.openxmlformats.org/officeDocument/2006/docPropsVTypes"/>
</file>