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C.E.R. — Reintegration Sweep Findings</w:t>
      </w:r>
    </w:p>
    <w:p>
      <w:pPr>
        <w:spacing w:after="120"/>
      </w:pPr>
      <w:r>
        <w:rPr>
          <w:i/>
          <w:iCs/>
        </w:rPr>
        <w:t xml:space="preserve">Compiled by Claude, September 2026, for review during downtime. Source: a parallel research pass (ChatGPT) proposing ~18 ‘old, superseded, or shelved’ concepts worth resurrecting now that the project architecture has matured, cross-checked directly against this archive rather than accepted at face value. Genuine concepts and direction preserved even where exact wording differs from the original prompt/response.</w:t>
      </w:r>
    </w:p>
    <w:p>
      <w:pPr>
        <w:pStyle w:val="Heading1"/>
        <w:spacing w:after="200" w:before="400"/>
      </w:pPr>
      <w:r>
        <w:t xml:space="preserve">The Honest Headline</w:t>
      </w:r>
    </w:p>
    <w:p>
      <w:pPr>
        <w:spacing w:after="120"/>
      </w:pPr>
      <w:r>
        <w:t xml:space="preserve">Nearly everything on the proposed resurrection list turned out to already be alive and developed in this archive — not dead at all. Only ONE genuine gap was found. This document exists to show you exactly which is which, so nothing gets re-litigated by accident and the one real addition doesn't get lost.</w:t>
      </w:r>
    </w:p>
    <w:p>
      <w:pPr>
        <w:pStyle w:val="Heading1"/>
        <w:spacing w:after="200" w:before="400"/>
      </w:pPr>
      <w:r>
        <w:t xml:space="preserve">Part I — Already Alive (verified directly, not assumed)</w:t>
      </w:r>
    </w:p>
    <w:p>
      <w:pPr>
        <w:spacing w:after="120"/>
      </w:pPr>
      <w:r>
        <w:t xml:space="preserve">Each of these was proposed as something to ‘resurrect.’ Direct verification against the Master Archive found each one already locked or strongly developed — in most cases with more depth than the resurrection proposal itself described.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D9D9D9" w:val="clear"/>
          </w:tcPr>
          <w:p>
            <w:r>
              <w:rPr>
                <w:b/>
                <w:bCs/>
              </w:rPr>
              <w:t xml:space="preserve">Proposed ‘resurrection’</w:t>
            </w:r>
          </w:p>
        </w:tc>
        <w:tc>
          <w:tcPr>
            <w:tcW w:type="dxa" w:w="6400"/>
            <w:shd w:fill="D9D9D9" w:val="clear"/>
          </w:tcPr>
          <w:p>
            <w:r>
              <w:rPr>
                <w:b/>
                <w:bCs/>
              </w:rPr>
              <w:t xml:space="preserve">Actual current status</w:t>
            </w:r>
          </w:p>
        </w:tc>
      </w:tr>
      <w:tr>
        <w:tc>
          <w:tcPr>
            <w:tcW w:type="dxa" w:w="2600"/>
          </w:tcPr>
          <w:p>
            <w:r>
              <w:t xml:space="preserve">Twisted / Distorted Pokémon as the ecological population</w:t>
            </w:r>
          </w:p>
        </w:tc>
        <w:tc>
          <w:tcPr>
            <w:tcW w:type="dxa" w:w="6400"/>
          </w:tcPr>
          <w:p>
            <w:r>
              <w:t xml:space="preserve">Already locked: unhealthy world → Twisted/Distorted populations → restoration → healthy populations. Present across 5 Master Archive parts (2, 3, 4, 10, 16), with Part 3 as the canonical home (13 substantive mentions) and the others appropriately cross-referencing back rather than re-explaining.</w:t>
            </w:r>
          </w:p>
        </w:tc>
      </w:tr>
      <w:tr>
        <w:tc>
          <w:tcPr>
            <w:tcW w:type="dxa" w:w="2600"/>
          </w:tcPr>
          <w:p>
            <w:r>
              <w:t xml:space="preserve">Local / Regional restoration instead of one global meter</w:t>
            </w:r>
          </w:p>
        </w:tc>
        <w:tc>
          <w:tcPr>
            <w:tcW w:type="dxa" w:w="6400"/>
          </w:tcPr>
          <w:p>
            <w:r>
              <w:t xml:space="preserve">Already locked as Regional Affinity (Part 9, Section 2): ‘World Affinity has a local expression — meaning Fire can be healthy globally while one specific region stays Fire-depleted.’ Explicitly lets restoration happen place-by-place.</w:t>
            </w:r>
          </w:p>
        </w:tc>
      </w:tr>
      <w:tr>
        <w:tc>
          <w:tcPr>
            <w:tcW w:type="dxa" w:w="2600"/>
          </w:tcPr>
          <w:p>
            <w:r>
              <w:t xml:space="preserve">The layered Pokémon anomaly taxonomy (Alpha/Boss/Guardian/Ancient/Apex as one system, not five)</w:t>
            </w:r>
          </w:p>
        </w:tc>
        <w:tc>
          <w:tcPr>
            <w:tcW w:type="dxa" w:w="6400"/>
          </w:tcPr>
          <w:p>
            <w:r>
              <w:t xml:space="preserve">Already fully locked. Titan is a manifestation-class/subfamily of Ecological Apex Pokémon, sitting alongside Territorial, Ancient, Resonance-Saturated, Ecosystem Guardian, and Distorted/Shadow as the same tier. Alpha remains a fully separate, stackable phenotype axis (an ‘Alpha Titan’ is explicitly possible). Status: 🕒 Locked.</w:t>
            </w:r>
          </w:p>
        </w:tc>
      </w:tr>
      <w:tr>
        <w:tc>
          <w:tcPr>
            <w:tcW w:type="dxa" w:w="2600"/>
          </w:tcPr>
          <w:p>
            <w:r>
              <w:t xml:space="preserve">Resonance Synthesis outcomes as a spectrum, not a fixed Fusion recipe</w:t>
            </w:r>
          </w:p>
        </w:tc>
        <w:tc>
          <w:tcPr>
            <w:tcW w:type="dxa" w:w="6400"/>
          </w:tcPr>
          <w:p>
            <w:r>
              <w:t xml:space="preserve">Already the core architecture: Stable→Fusion, Rejected→Fractured, Corrupted→Shadow. Present and developed across 5 Master Archive parts (2, 3, 9, 10, 13).</w:t>
            </w:r>
          </w:p>
        </w:tc>
      </w:tr>
      <w:tr>
        <w:tc>
          <w:tcPr>
            <w:tcW w:type="dxa" w:w="2600"/>
          </w:tcPr>
          <w:p>
            <w:r>
              <w:t xml:space="preserve">Affinity Essence with a genuinely unique role</w:t>
            </w:r>
          </w:p>
        </w:tc>
        <w:tc>
          <w:tcPr>
            <w:tcW w:type="dxa" w:w="6400"/>
          </w:tcPr>
          <w:p>
            <w:r>
              <w:t xml:space="preserve">Already resolved with its own locked verb — Catalyze/Synthesize — as the catalytic medium for Resonance Synthesis. 9 substantive mentions in Part 3 alone. Not provisional or on probation; RESOLVED status.</w:t>
            </w:r>
          </w:p>
        </w:tc>
      </w:tr>
      <w:tr>
        <w:tc>
          <w:tcPr>
            <w:tcW w:type="dxa" w:w="2600"/>
          </w:tcPr>
          <w:p>
            <w:r>
              <w:t xml:space="preserve">The old modular material philosophy (each family owns a distinct verb)</w:t>
            </w:r>
          </w:p>
        </w:tc>
        <w:tc>
          <w:tcPr>
            <w:tcW w:type="dxa" w:w="6400"/>
          </w:tcPr>
          <w:p>
            <w:r>
              <w:t xml:space="preserve">Already locked as a standing rule (Part 3): Fragment=Gather, Liquid=Manipulate/Move, Gem=Condense, Plate=Control, Memory=Understand, Terra Shard=Anchor, Drive=Operate, Z-Crystal=Overdrive/Amplify, Heart=Attune. New material families are required to justify a distinct verb before being added.</w:t>
            </w:r>
          </w:p>
        </w:tc>
      </w:tr>
      <w:tr>
        <w:tc>
          <w:tcPr>
            <w:tcW w:type="dxa" w:w="2600"/>
          </w:tcPr>
          <w:p>
            <w:r>
              <w:t xml:space="preserve">Legendary Recognition (eligibility ≠ automatic appearance)</w:t>
            </w:r>
          </w:p>
        </w:tc>
        <w:tc>
          <w:tcPr>
            <w:tcW w:type="dxa" w:w="6400"/>
          </w:tcPr>
          <w:p>
            <w:r>
              <w:t xml:space="preserve">Already extensively locked across 5 parts (1, 2, 3, 10, 11): Affinity→Virtue→Resonance→Recognition→Domain Authority, with Domain requirements meant to demonstrate genuine understanding rather than a checklist.</w:t>
            </w:r>
          </w:p>
        </w:tc>
      </w:tr>
      <w:tr>
        <w:tc>
          <w:tcPr>
            <w:tcW w:type="dxa" w:w="2600"/>
          </w:tcPr>
          <w:p>
            <w:r>
              <w:t xml:space="preserve">Pokémon ecological roles (populations actively shape the world, not just respond to it)</w:t>
            </w:r>
          </w:p>
        </w:tc>
        <w:tc>
          <w:tcPr>
            <w:tcW w:type="dxa" w:w="6400"/>
          </w:tcPr>
          <w:p>
            <w:r>
              <w:t xml:space="preserve">Already built out directly (Part 12): ‘Pokémon shouldn't be passengers in this system — they actively contribute abstracted ecological roles,’ with concrete examples resolving an item previously flagged unresolved in Part 10.</w:t>
            </w:r>
          </w:p>
        </w:tc>
      </w:tr>
      <w:tr>
        <w:tc>
          <w:tcPr>
            <w:tcW w:type="dxa" w:w="2600"/>
          </w:tcPr>
          <w:p>
            <w:r>
              <w:t xml:space="preserve">Reintroduction (capture → research → care → relocate → release)</w:t>
            </w:r>
          </w:p>
        </w:tc>
        <w:tc>
          <w:tcPr>
            <w:tcW w:type="dxa" w:w="6400"/>
          </w:tcPr>
          <w:p>
            <w:r>
              <w:t xml:space="preserve">Already present across 3 parts (Part 3, 10, 12) as part of the Research/Restoration loop.</w:t>
            </w:r>
          </w:p>
        </w:tc>
      </w:tr>
      <w:tr>
        <w:tc>
          <w:tcPr>
            <w:tcW w:type="dxa" w:w="2600"/>
          </w:tcPr>
          <w:p>
            <w:r>
              <w:t xml:space="preserve">Paths as emergent identity, not fixed classes (Ranger/Researcher/Trainer/etc.)</w:t>
            </w:r>
          </w:p>
        </w:tc>
        <w:tc>
          <w:tcPr>
            <w:tcW w:type="dxa" w:w="6400"/>
          </w:tcPr>
          <w:p>
            <w:r>
              <w:t xml:space="preserve">Already present across 3 parts (Part 6, 10, 11) — identity emerging from action rather than an upfront class pick.</w:t>
            </w:r>
          </w:p>
        </w:tc>
      </w:tr>
      <w:tr>
        <w:tc>
          <w:tcPr>
            <w:tcW w:type="dxa" w:w="2600"/>
          </w:tcPr>
          <w:p>
            <w:r>
              <w:t xml:space="preserve">Contests vs. Rallies as real Living World activities, not side minigames</w:t>
            </w:r>
          </w:p>
        </w:tc>
        <w:tc>
          <w:tcPr>
            <w:tcW w:type="dxa" w:w="6400"/>
          </w:tcPr>
          <w:p>
            <w:r>
              <w:t xml:space="preserve">Already locked in Part 10 with the exact distinction intact: Contest = ‘who accomplishes X best,’ Rally = ‘everyone gathers and participates.’</w:t>
            </w:r>
          </w:p>
        </w:tc>
      </w:tr>
      <w:tr>
        <w:tc>
          <w:tcPr>
            <w:tcW w:type="dxa" w:w="2600"/>
          </w:tcPr>
          <w:p>
            <w:r>
              <w:t xml:space="preserve">The ‘no universally best Poké Ball’ philosophy / modular Resonance Ball technology</w:t>
            </w:r>
          </w:p>
        </w:tc>
        <w:tc>
          <w:tcPr>
            <w:tcW w:type="dxa" w:w="6400"/>
          </w:tcPr>
          <w:p>
            <w:r>
              <w:t xml:space="preserve">Already extensively developed (Parts 5, 6, 8): the full Modular Ball → Attunement Core → Attuned/Affinity Ball hierarchy, with situational specialization as an explicit design principle, not an afterthought.</w:t>
            </w:r>
          </w:p>
        </w:tc>
      </w:tr>
      <w:tr>
        <w:tc>
          <w:tcPr>
            <w:tcW w:type="dxa" w:w="2600"/>
          </w:tcPr>
          <w:p>
            <w:r>
              <w:t xml:space="preserve">The 19th Observatory slot as a protected mystery</w:t>
            </w:r>
          </w:p>
        </w:tc>
        <w:tc>
          <w:tcPr>
            <w:tcW w:type="dxa" w:w="6400"/>
          </w:tcPr>
          <w:p>
            <w:r>
              <w:t xml:space="preserve">Already established exactly as proposed — deliberately unexplained, protected as a long-term/Act II hook, present in Part 3.</w:t>
            </w:r>
          </w:p>
        </w:tc>
      </w:tr>
      <w:tr>
        <w:tc>
          <w:tcPr>
            <w:tcW w:type="dxa" w:w="2600"/>
          </w:tcPr>
          <w:p>
            <w:r>
              <w:t xml:space="preserve">Resonance Core / Attunement Core hierarchy simplification</w:t>
            </w:r>
          </w:p>
        </w:tc>
        <w:tc>
          <w:tcPr>
            <w:tcW w:type="dxa" w:w="6400"/>
          </w:tcPr>
          <w:p>
            <w:r>
              <w:t xml:space="preserve">Already fully resolved with documented naming history (Resonance Core → Attunement Core, made specifically to stop colliding with ‘Resonance Ball’) and a clean role split: Core = capture strength, Attunement Core = type/Affinity specialization, Treatment = special function.</w:t>
            </w:r>
          </w:p>
        </w:tc>
      </w:tr>
      <w:tr>
        <w:tc>
          <w:tcPr>
            <w:tcW w:type="dxa" w:w="2600"/>
          </w:tcPr>
          <w:p>
            <w:r>
              <w:t xml:space="preserve">Resonance Heart's dual meaning (material vs. player progression) needing separation</w:t>
            </w:r>
          </w:p>
        </w:tc>
        <w:tc>
          <w:tcPr>
            <w:tcW w:type="dxa" w:w="6400"/>
          </w:tcPr>
          <w:p>
            <w:r>
              <w:t xml:space="preserve">Already actively being resolved — not an unaddressed collision. Went through two rename iterations specifically because of this exact naming collision: Resonance Heart → Resonance Core → Resonance Nexus (material side), keeping ‘Resonance Hearts’ exclusively for the player progression system. Only the very final name choice remains open for confirmation.</w:t>
            </w:r>
          </w:p>
        </w:tc>
      </w:tr>
      <w:tr>
        <w:tc>
          <w:tcPr>
            <w:tcW w:type="dxa" w:w="2600"/>
          </w:tcPr>
          <w:p>
            <w:r>
              <w:t xml:space="preserve">Native Cobblemon Type Gems making a separate ER gem system unnecessary</w:t>
            </w:r>
          </w:p>
        </w:tc>
        <w:tc>
          <w:tcPr>
            <w:tcW w:type="dxa" w:w="6400"/>
          </w:tcPr>
          <w:p>
            <w:r>
              <w:t xml:space="preserve">Already confirmed and adopted — Part 16 explicitly locks in using native Type Gems as the substrate, no duplicate ER gem system exists.</w:t>
            </w:r>
          </w:p>
        </w:tc>
      </w:tr>
    </w:tbl>
    <w:p>
      <w:pPr>
        <w:pStyle w:val="Heading1"/>
        <w:spacing w:after="200" w:before="400"/>
      </w:pPr>
      <w:r>
        <w:t xml:space="preserve">Part II — The One Genuine Gap (added to the archive)</w:t>
      </w:r>
    </w:p>
    <w:p>
      <w:pPr>
        <w:pStyle w:val="Heading2"/>
        <w:spacing w:after="150" w:before="300"/>
      </w:pPr>
      <w:r>
        <w:t xml:space="preserve">Positive Resonance Phenomena</w:t>
      </w:r>
    </w:p>
    <w:p>
      <w:pPr>
        <w:spacing w:after="120"/>
      </w:pPr>
      <w:r>
        <w:t xml:space="preserve">This is the single item from the whole reintegration pass that was genuinely absent — zero hits anywhere in the archive, verified directly rather than assumed.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What changed to make it newly viable: Resonance Expeditions already gives Affinity INSTABILITY a concrete event trigger — ‘UNSTABLE RESONANCE DETECTED.’ This proposes the direct positive-valence counterpart, closing a real asymmetry (the crisis side already had somewhere to live; the success side didn't).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Concept: successful, sustained restoration in a region can itself trigger a detectable event — ‘UNUSUAL RESONANCE SIGNATURE DETECTED,’ framed as a discovery rather than a threat — leading to a rare Pokémon, a Resonance Fossil forming, an Affinity Fragment cluster, a research discovery, a temporary ecological buff, or an early Legendary-recognition thread.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Why it fits: directly reinforces Discovery Over Prescription — restoration produces discovery, not just a number going up.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Status: added to Part 3 as a Current Proposal. The concept and its trigger condition are sound and slot cleanly into the existing Living World Events family; the exact mechanics (detection method, reward table, cooldown/frequency) still need real design work.</w:t>
      </w:r>
    </w:p>
    <w:p>
      <w:pPr>
        <w:pStyle w:val="Heading1"/>
        <w:spacing w:after="200" w:before="400"/>
      </w:pPr>
      <w:r>
        <w:t xml:space="preserve">Part III — One Governance Idea Worth Keeping Regardless</w:t>
      </w:r>
    </w:p>
    <w:p>
      <w:pPr>
        <w:pStyle w:val="Heading2"/>
        <w:spacing w:after="150" w:before="300"/>
      </w:pPr>
      <w:r>
        <w:t xml:space="preserve">The ‘Reintegration Candidate’ status tag</w:t>
      </w:r>
    </w:p>
    <w:p>
      <w:pPr>
        <w:spacing w:after="120"/>
      </w:pPr>
      <w:r>
        <w:t xml:space="preserve">Genuinely useful idea from the source proposal, adopted into the Status Tag Legend (Authorities Archive) as its own symbol: 🟣 Reintegration Candidate.</w:t>
      </w:r>
    </w:p>
    <w:p>
      <w:pPr>
        <w:spacing w:after="120"/>
      </w:pPr>
      <w:r>
        <w:t xml:space="preserve">Meaning: a historically superseded, rejected, or banked concept that has become newly viable because the SURROUNDING ARCHITECTURE materially changed since the original call — distinct from simply changing one's mind. Any future use of this tag should name specifically what changed to make the old idea viable again, not just restate the idea.</w:t>
      </w:r>
    </w:p>
    <w:p>
      <w:pPr>
        <w:pStyle w:val="Heading1"/>
        <w:spacing w:after="200" w:before="400"/>
      </w:pPr>
      <w:r>
        <w:t xml:space="preserve">A Note on the Pattern</w:t>
      </w:r>
    </w:p>
    <w:p>
      <w:pPr>
        <w:spacing w:after="120"/>
      </w:pPr>
      <w:r>
        <w:rPr>
          <w:i/>
          <w:iCs/>
        </w:rPr>
        <w:t xml:space="preserve">This is not the first time this session that a parallel research pass has proposed ‘resurrecting’ something already alive here. The consistent finding across several such cross-checks has been that this archive's own track has simply outpaced the parallel one — not that the parallel pass was doing bad work, just that it wasn't working from current information. Worth keeping in mind for any future parallel research: verify against the actual archive before treating a proposal's framing (‘dead,’ ‘removed,’ ‘shelved’) as fact.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2026-09-14T21:09:46.720Z</dcterms:created>
  <dcterms:modified xsi:type="dcterms:W3CDTF">2026-09-14T21:09:46.720Z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