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C.E.R. — Missed Questions &amp; Unanswered Offers</w:t>
      </w:r>
    </w:p>
    <w:p>
      <w:pPr>
        <w:spacing w:after="120"/>
      </w:pPr>
      <w:r>
        <w:rPr>
          <w:b/>
          <w:bCs/>
          <w:i/>
          <w:iCs/>
        </w:rPr>
        <w:t xml:space="preserve">Honest caveat first: this is compiled from careful recall of the conversation, not a mechanical re-scan of every message — I don't have a way to grep this live conversation the way I could search an uploaded file. Where I COULD verify something directly (by searching my actual archive files for whether promised work was completed), I did — that's how CLR-0073 got found and fixed just now. Treat this list as a strong-effort pass, not a guaranteed-complete one.</w:t>
      </w:r>
    </w:p>
    <w:p>
      <w:pPr>
        <w:pStyle w:val="Heading2"/>
        <w:spacing w:after="150" w:before="300"/>
      </w:pPr>
      <w:r>
        <w:t xml:space="preserve">1. Confirmed genuinely unresolved (verified by checking the archive, not just memory)</w:t>
      </w:r>
    </w:p>
    <w:p>
      <w:pPr>
        <w:pStyle w:val="Heading3"/>
        <w:spacing w:after="100" w:before="200"/>
      </w:pPr>
      <w:r>
        <w:t xml:space="preserve">Fusion dynamic-generation fallback: Anchor-model + Partner-texture-blend</w:t>
      </w:r>
    </w:p>
    <w:p>
      <w:pPr>
        <w:spacing w:after="120"/>
      </w:pPr>
      <w:r>
        <w:t xml:space="preserve">Proposed as a solution to ‘what happens when no curated custom Fusion species exists for a pair’: keep the Anchor's actual model geometry, texture-blend toward the Partner's palette, swap small cosmetic pieces. Two-tier result: Curated Fusions (flagship pairs, full custom model) vs. Generic Fusions (everything else, always available, no dead end). You said “not yet, need to read” when this first came up and it never got revisited. Still sitting unanswered — genuinely worth a yes/no whenever you're ready.</w:t>
      </w:r>
    </w:p>
    <w:p>
      <w:pPr>
        <w:pStyle w:val="Heading2"/>
        <w:spacing w:after="150" w:before="300"/>
      </w:pPr>
      <w:r>
        <w:t xml:space="preserve">2. Offered but never confirmed or declined</w:t>
      </w:r>
    </w:p>
    <w:p>
      <w:pPr>
        <w:pStyle w:val="Heading3"/>
        <w:spacing w:after="100" w:before="200"/>
      </w:pPr>
      <w:r>
        <w:t xml:space="preserve">Formal Implementation Milestone document</w:t>
      </w:r>
    </w:p>
    <w:p>
      <w:pPr>
        <w:spacing w:after="120"/>
      </w:pPr>
      <w:r>
        <w:t xml:space="preserve">During the discussion of what the first buildable vertical-slice milestone should be (“The First Resonance” / “Does the World Actually Answer”), I offered to write this up as a formal Implementation Milestone document in the archive. The conversation moved into the Resonance Gateway/Z-Crystal recovery before that offer got a direct answer. Worth a yes/no if you still want that written up as its own tracked deliverable.</w:t>
      </w:r>
    </w:p>
    <w:p>
      <w:pPr>
        <w:pStyle w:val="Heading3"/>
        <w:spacing w:after="100" w:before="200"/>
      </w:pPr>
      <w:r>
        <w:t xml:space="preserve">Full feature-by-feature Cobblemon Integration Bible</w:t>
      </w:r>
    </w:p>
    <w:p>
      <w:pPr>
        <w:spacing w:after="120"/>
      </w:pPr>
      <w:r>
        <w:t xml:space="preserve">Part 16's audit ends by proposing an even deeper follow-up: going through every current Cobblemon 1.8 system individually (every item family, block, structure, spawning context, datapack hook) and assigning each one KEEP NATIVE / INTEGRATE / MODIFY / EXPAND / REPLACE / IGNORE / INVESTIGATE — explicitly framed as the next step before touching implementation. Never confirmed or declined.</w:t>
      </w:r>
    </w:p>
    <w:p>
      <w:pPr>
        <w:pStyle w:val="Heading3"/>
        <w:spacing w:after="100" w:before="200"/>
      </w:pPr>
      <w:r>
        <w:t xml:space="preserve">Resonance Synthesizer vs. Resonance Synthesis Chamber naming discrepancy</w:t>
      </w:r>
    </w:p>
    <w:p>
      <w:pPr>
        <w:spacing w:after="120"/>
      </w:pPr>
      <w:r>
        <w:t xml:space="preserve">Part 13 flags this directly: two different recovered sweep passes produced two different names for what may be the same apparatus, or may be a research-tier device (Synthesizer) preceding a more significant multiblock (Chamber). Explicitly “flagged for Wesley's direct call rather than picking one” — still open.</w:t>
      </w:r>
    </w:p>
    <w:p>
      <w:pPr>
        <w:pStyle w:val="Heading2"/>
        <w:spacing w:after="150" w:before="300"/>
      </w:pPr>
      <w:r>
        <w:t xml:space="preserve">3. Design threads you just confirmed you want fleshed out (tracked here so they don't slip again)</w:t>
      </w:r>
    </w:p>
    <w:p>
      <w:pPr>
        <w:pStyle w:val="ListParagraph"/>
        <w:numPr>
          <w:ilvl w:val="0"/>
          <w:numId w:val="1"/>
        </w:numPr>
        <w:spacing w:after="60"/>
      </w:pPr>
      <w:r>
        <w:t xml:space="preserve">Themed Teams (Valor/Instinct/Mystic/Harmony/Guardian, etc.) — needs real research into GO's teams, Team Harmony's actual fan-origin, and non-GO Pokémon purpose-factions before naming philosophies.</w:t>
      </w:r>
    </w:p>
    <w:p>
      <w:pPr>
        <w:pStyle w:val="ListParagraph"/>
        <w:numPr>
          <w:ilvl w:val="0"/>
          <w:numId w:val="1"/>
        </w:numPr>
        <w:spacing w:after="60"/>
      </w:pPr>
      <w:r>
        <w:t xml:space="preserve">The late-game ‘Resonance is the world, not just a resource in it’ ontological revelation — flagged as the strongest single idea in the whole batch it came from.</w:t>
      </w:r>
    </w:p>
    <w:p>
      <w:pPr>
        <w:pStyle w:val="ListParagraph"/>
        <w:numPr>
          <w:ilvl w:val="0"/>
          <w:numId w:val="1"/>
        </w:numPr>
        <w:spacing w:after="60"/>
      </w:pPr>
      <w:r>
        <w:t xml:space="preserve">Paradox Pokémon → Time Domain gating, Ultra Beasts → Space/Dimensional Domain gating — fits the existing Eligibility≠Recognition philosophy directly.</w:t>
      </w:r>
    </w:p>
    <w:p>
      <w:pPr>
        <w:spacing w:after="120"/>
      </w:pPr>
      <w:r>
        <w:rPr>
          <w:i/>
          <w:iCs/>
        </w:rPr>
        <w:t xml:space="preserve">These aren't unanswered questions — you already said yes to all three — included here only so they're tracked in one place rather than risking getting lost again the way the IV Essence work almost did.</w:t>
      </w:r>
    </w:p>
    <w:p>
      <w:pPr>
        <w:pStyle w:val="Heading2"/>
        <w:spacing w:after="150" w:before="300"/>
      </w:pPr>
      <w:r>
        <w:t xml:space="preserve">4. What I'd suggest</w:t>
      </w:r>
    </w:p>
    <w:p>
      <w:pPr>
        <w:spacing w:after="120"/>
      </w:pPr>
      <w:r>
        <w:t xml:space="preserve">Given the honest limitation above, if you want real certainty that nothing else is sitting unanswered, the most reliable path would be pointing me at specific stretches of the conversation you remember being unsure about, rather than asking for one more ‘are you sure that's everything’ pass — my recall is good but it's still recall, not a 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2026-09-13T22:51:38.105Z</dcterms:created>
  <dcterms:modified xsi:type="dcterms:W3CDTF">2026-09-13T22:51:38.105Z</dcterms:modified>
</cp:coreProperties>
</file>

<file path=docProps/custom.xml><?xml version="1.0" encoding="utf-8"?>
<Properties xmlns="http://schemas.openxmlformats.org/officeDocument/2006/custom-properties" xmlns:vt="http://schemas.openxmlformats.org/officeDocument/2006/docPropsVTypes"/>
</file>