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Supplemental Archive</w:t>
      </w:r>
    </w:p>
    <w:p>
      <w:pPr>
        <w:spacing w:after="120"/>
      </w:pPr>
      <w:r>
        <w:rPr>
          <w:i/>
          <w:iCs/>
        </w:rPr>
        <w:t xml:space="preserve">Compiled by Claude, September 2026. Per the Authorities Archive, this archive covers material that doesn't cleanly fit Master, Authorities, or Interaction, but is worth preserving — not a garbage bin; entries here can be promoted to another archive later via Cross-Referencing once they have somewhere to go. Also honestly short: most “loose ends” in the transcripts turned out to already have a clear home in the Master Archive's own open-questions/circle-back sections (Part 4), so this archive holds only what genuinely has nowhere else to go yet.</w:t>
      </w:r>
    </w:p>
    <w:p>
      <w:pPr>
        <w:pStyle w:val="Heading2"/>
        <w:spacing w:after="150" w:before="300"/>
      </w:pPr>
      <w:r>
        <w:t xml:space="preserve">1. The Term Bank</w:t>
      </w:r>
    </w:p>
    <w:p>
      <w:pPr>
        <w:spacing w:after="120"/>
      </w:pPr>
      <w:r>
        <w:t xml:space="preserve">A formally established concept distinct from the locked terminology list: the Term Bank holds terms that have been coined or reserved but don't yet have a confirmed application — not officially part of the design, just preserved in case a use emerges later. Per F.R.M. (Authorities Archive), Term Banking is an authority Claude has inherited.</w:t>
      </w:r>
    </w:p>
    <w:p>
      <w:pPr>
        <w:pStyle w:val="Heading3"/>
        <w:spacing w:after="100" w:before="200"/>
      </w:pPr>
      <w:r>
        <w:t xml:space="preserve">Currently banked terms</w:t>
      </w:r>
    </w:p>
    <w:p>
      <w:pPr>
        <w:pStyle w:val="ListParagraph"/>
        <w:numPr>
          <w:ilvl w:val="0"/>
          <w:numId w:val="1"/>
        </w:numPr>
        <w:spacing w:after="60"/>
      </w:pPr>
      <w:r>
        <w:t xml:space="preserve">“Affinity Relationship” — reserved during a discussion about which type pairings should have Resonance interactions (Master Archive Part 1's Harmonized/Conflicting pairs). Explicitly saved as possibly useful for an official term later, with no confirmed application yet.</w:t>
      </w:r>
    </w:p>
    <w:p>
      <w:pPr>
        <w:spacing w:after="120"/>
      </w:pPr>
      <w:r>
        <w:t xml:space="preserve">Status: 🟡 Candidate / banked, not in use. Add future banked terms here as they come up rather than starting a new list.</w:t>
      </w:r>
    </w:p>
    <w:p>
      <w:pPr>
        <w:pStyle w:val="Heading2"/>
        <w:spacing w:after="150" w:before="300"/>
      </w:pPr>
      <w:r>
        <w:t xml:space="preserve">2. Stray Design-Restraint Quotes</w:t>
      </w:r>
    </w:p>
    <w:p>
      <w:pPr>
        <w:spacing w:after="120"/>
      </w:pPr>
      <w:r>
        <w:t xml:space="preserve">A few short lines from the transcripts function as memorable shorthand for principles already documented at length elsewhere in the Master/Authorities Archives. Preserved here as quick-reference phrasing rather than re-explained:</w:t>
      </w:r>
    </w:p>
    <w:p>
      <w:pPr>
        <w:pStyle w:val="ListParagraph"/>
        <w:numPr>
          <w:ilvl w:val="0"/>
          <w:numId w:val="1"/>
        </w:numPr>
        <w:spacing w:after="60"/>
      </w:pPr>
      <w:r>
        <w:t xml:space="preserve">On keeping magic in its place: “Magic should interact with the world rather than become Ars Nouveau: The Modpack” — shorthand for the Three Pillars principle that no single mod should swallow the project's identity (Master Archive Part 4).</w:t>
      </w:r>
    </w:p>
    <w:p>
      <w:pPr>
        <w:pStyle w:val="ListParagraph"/>
        <w:numPr>
          <w:ilvl w:val="0"/>
          <w:numId w:val="1"/>
        </w:numPr>
        <w:spacing w:after="60"/>
      </w:pPr>
      <w:r>
        <w:t xml:space="preserve">On Fusion failure: explicitly and repeatedly reinforced as never permanently punishing (Master Archive Part 3) — stated with enough emphasis in the transcripts (including a rueful “we learned this lesson before implementing it”) that it's worth flagging as a hard-won rule rather than a casual preference.</w:t>
      </w:r>
    </w:p>
    <w:p>
      <w:pPr>
        <w:pStyle w:val="Heading2"/>
        <w:spacing w:after="150" w:before="300"/>
      </w:pPr>
      <w:r>
        <w:t xml:space="preserve">3. Genuinely Unplaced Items</w:t>
      </w:r>
    </w:p>
    <w:p>
      <w:pPr>
        <w:spacing w:after="120"/>
      </w:pPr>
      <w:r>
        <w:t xml:space="preserve">Nothing else surfaced during this pass that didn't already have a home in Master, Authorities, or Interaction. If review of the finished archives turns up something that doesn't fit elsewhere, it belongs here — this archive stays open for that purpose going forward.</w:t>
      </w:r>
    </w:p>
    <w:p>
      <w:pPr>
        <w:pStyle w:val="Heading2"/>
        <w:spacing w:after="150" w:before="300"/>
      </w:pPr>
      <w:r>
        <w:t xml:space="preserve">4. Provisional Thoughts</w:t>
      </w:r>
    </w:p>
    <w:p>
      <w:pPr>
        <w:spacing w:after="120"/>
      </w:pPr>
      <w:r>
        <w:rPr>
          <w:i/>
          <w:iCs/>
        </w:rPr>
        <w:t xml:space="preserve">A staging area, distinct from Section 3 above: these items DO have a known eventual home in another archive, but haven't been formally reviewed/confirmed by Wesley yet, so they're held here rather than written directly into their target document. Once reviewed, each entry gets moved into its real home and this section's copy is removed — this section should stay short-lived by design, not become a permanent second archive.</w:t>
      </w:r>
    </w:p>
    <w:p>
      <w:pPr>
        <w:spacing w:after="120"/>
      </w:pPr>
      <w:r>
        <w:rPr>
          <w:i/>
          <w:iCs/>
        </w:rPr>
        <w:t xml:space="preserve">Governing tone, stated directly by Wesley and worth preserving exactly: the goal is to have as few things sitting in this section as possible by the end of the project — but that is NOT a reason to hesitate marking something provisional in the moment. A full section isn't a problem to feel bad about; it's the system doing its job. The right read of an entry here is “we have this idea and haven't decided what to do with it yet, let's see if it finds a use” — not “oh no, there are so many of these.” Marking something provisional should always feel like the safe, correct default when in doubt, never something to avoid for the sake of a shorter list.</w:t>
      </w:r>
    </w:p>
    <w:p>
      <w:pPr>
        <w:pStyle w:val="Heading3"/>
        <w:spacing w:after="100" w:before="200"/>
      </w:pPr>
      <w:r>
        <w:t xml:space="preserve">4.1 Observatory socket-color-lighting mechanic (target: Master Archive Part 1)</w:t>
      </w:r>
    </w:p>
    <w:p>
      <w:pPr>
        <w:spacing w:after="120"/>
      </w:pPr>
      <w:r>
        <w:t xml:space="preserve">Discussed at length and well-received in conversation, but never actually written into Part 1: each of the Observatory's 18 sockets lighting up in its own Affinity's color specifically when that Affinity reaches 100% — Fire glowing red/orange, Ice light blue, Grass green, and so on. Proposed as the actual visual answer to “how do we show 100% Affinity without a HUD percentage,” consistent with Part 12's existing principle that World Health shouldn't become a number the player watches climb. Note: Part 3's Convergence Gateway proposal already cites this mechanic as if it were locked (“each lighting up at 100%”) — that citation will need to be reconciled once this is formally reviewed, either by locking this mechanic to match, or by softening Part 3's wording if it ends up not being adopted as written.</w:t>
      </w:r>
    </w:p>
    <w:p>
      <w:pPr>
        <w:pStyle w:val="Heading3"/>
        <w:spacing w:after="100" w:before="200"/>
      </w:pPr>
      <w:r>
        <w:t xml:space="preserve">4.2 Archive file-naming &amp; folder-routing rule (target: Authorities Archive)</w:t>
      </w:r>
    </w:p>
    <w:p>
      <w:pPr>
        <w:spacing w:after="120"/>
      </w:pPr>
      <w:r>
        <w:t xml:space="preserve">Confirmed in conversation as the standing rule for managing the physical C.E.R.A folder structure, never yet written into Authorities Archive's governance section: a brand-new archive part/document, the first time it's ever created, gets “_original” appended to its filename and is filed permanently into an Archive Originals folder, never touched again. The moment that document receives its first real revision, a second file is created WITHOUT the _original suffix, filed into the matching current-archive folder (Master Archives / Authorities Archives / Interaction Archives / Changelog Archives, etc.), and that second file is the one that keeps absorbing every future update. Anything with _original in the filename is permanently frozen — no exceptions, regardless of what changes elsewhere.</w:t>
      </w:r>
    </w:p>
    <w:p>
      <w:pPr>
        <w:pStyle w:val="Heading3"/>
        <w:spacing w:after="100" w:before="200"/>
      </w:pPr>
      <w:r>
        <w:t xml:space="preserve">4.3 Citation correction (already fixed directly, noted here for the record)</w:t>
      </w:r>
    </w:p>
    <w:p>
      <w:pPr>
        <w:spacing w:after="120"/>
      </w:pPr>
      <w:r>
        <w:t xml:space="preserve">Part 3's Convergence Gateway proposal cited the Observatory's mysterious 19th position as living in “Part 12/Interaction Archive.” It actually lives in Part 10. This was a simple factual correction rather than a design decision needing review, so it was fixed directly rather than staged here — included in this section only so the audit that found it stays fully accounted for.</w:t>
      </w:r>
    </w:p>
    <w:p>
      <w:pPr>
        <w:pStyle w:val="Heading3"/>
        <w:spacing w:after="100" w:before="200"/>
      </w:pPr>
      <w:r>
        <w:t xml:space="preserve">4.4 (Graduated to Part 7) — formerly the Apex encounter-tier hierarchy</w:t>
      </w:r>
    </w:p>
    <w:p>
      <w:pPr>
        <w:spacing w:after="120"/>
      </w:pPr>
      <w:r>
        <w:t xml:space="preserve">Was held here pending Part 7's “does Ecological Apex Pokémon unify these” question. That question is now resolved (Wesley, Sept 2026, alongside locking Titan Pokémon's place in the taxonomy) — this item has been moved to Part 7 as its proper permanent home. Entry kept here only as a pointer, consistent with the Change Log's practice of not silently erasing the record of where something used to sit.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2026-09-13T23:19:08.768Z</dcterms:created>
  <dcterms:modified xsi:type="dcterms:W3CDTF">2026-09-13T23:19:08.768Z</dcterms:modified>
</cp:coreProperties>
</file>

<file path=docProps/custom.xml><?xml version="1.0" encoding="utf-8"?>
<Properties xmlns="http://schemas.openxmlformats.org/officeDocument/2006/custom-properties" xmlns:vt="http://schemas.openxmlformats.org/officeDocument/2006/docPropsVTypes"/>
</file>