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C.E.R. — Open Questions, Loose Ends &amp; Unsettled Suggestions</w:t>
      </w:r>
    </w:p>
    <w:p>
      <w:pPr>
        <w:spacing w:after="120"/>
      </w:pPr>
      <w:r>
        <w:rPr>
          <w:i/>
          <w:iCs/>
        </w:rPr>
        <w:t xml:space="preserve">Compiled by Claude, September 2026, for review during downtime. Pulled directly from explicit ❓/🟠 Unresolved/🔵 Current Proposal status markers across the Master Archive, plus the dedicated Missed Questions tracker. Genuine concepts and direction preserved even where exact wording is paraphrased rather than quoted verbatim — not claiming completeness, but a strong-effort pass across every part. Organized by where each item lives so you can jump straight to the relevant Part if you want full context.</w:t>
      </w:r>
    </w:p>
    <w:p>
      <w:pPr>
        <w:pStyle w:val="Heading1"/>
        <w:spacing w:after="200" w:before="400"/>
      </w:pPr>
      <w:r>
        <w:t xml:space="preserve">Part A — Explicit Open Questions (marked ❓ directly in the archive)</w:t>
      </w:r>
    </w:p>
    <w:p>
      <w:pPr>
        <w:pStyle w:val="Heading2"/>
        <w:spacing w:after="150" w:before="300"/>
      </w:pPr>
      <w:r>
        <w:t xml:space="preserve">A1. Noble Pokémon → Legendary Domain absorption (Parts 1 &amp; 2)</w:t>
      </w:r>
    </w:p>
    <w:p>
      <w:pPr>
        <w:spacing w:after="120"/>
      </w:pPr>
      <w:r>
        <w:t xml:space="preserve">Whether the early ‘Noble Pokémon’ concept (a special guardian/spirit encounter tied to extremely high single-type World Affinity, 750–1000) is the direct ancestor of the current Legendary Domain/Recognition system, or a separate idea that got absorbed into it. The timing and phrasing suggest absorption, but no explicit line confirms it either way. Flagged in both Part 1 and Part 2.</w:t>
      </w:r>
    </w:p>
    <w:p>
      <w:pPr>
        <w:pStyle w:val="Heading2"/>
        <w:spacing w:after="150" w:before="300"/>
      </w:pPr>
      <w:r>
        <w:t xml:space="preserve">A2. Noble vs. Apex boundary (Part 7)</w:t>
      </w:r>
    </w:p>
    <w:p>
      <w:pPr>
        <w:spacing w:after="120"/>
      </w:pPr>
      <w:r>
        <w:t xml:space="preserve">Alpha (physical phenotype), Apex (ecological significance), and Noble are established as distinct, stackable layers — a Noble Ninetales, an Alpha Ninetales, and a Noble Alpha Ninetales are all conceptually different things. But the precise boundary between ‘Apex’ and ‘Noble’ specifically was never fully resolved even in the original recovery pass. Flagged rather than asserted.</w:t>
      </w:r>
    </w:p>
    <w:p>
      <w:pPr>
        <w:pStyle w:val="Heading2"/>
        <w:spacing w:after="150" w:before="300"/>
      </w:pPr>
      <w:r>
        <w:t xml:space="preserve">A3. Legendary Attunement Core — same family or different item? (Parts 5 &amp; 8)</w:t>
      </w:r>
    </w:p>
    <w:p>
      <w:pPr>
        <w:spacing w:after="120"/>
      </w:pPr>
      <w:r>
        <w:t xml:space="preserve">A specific one-off consumable (crafted from Resonance Shards + a Nether Star + a Diamond Block) that unlocks Personal Affinity Slot #5 is documented under the name ‘Legendary Attunement Core.’ Unclear whether this is meant to be a special/endgame member of the general Attunement Core family (Part 5/8's type-specialization ball components), or just an unrelated item that happens to share the name. Flagged in two separate places, still open both times.</w:t>
      </w:r>
    </w:p>
    <w:p>
      <w:pPr>
        <w:pStyle w:val="Heading2"/>
        <w:spacing w:after="150" w:before="300"/>
      </w:pPr>
      <w:r>
        <w:t xml:space="preserve">A4. Affinity Observatory vs. Restoration Observatory naming (Part 1)</w:t>
      </w:r>
    </w:p>
    <w:p>
      <w:pPr>
        <w:spacing w:after="120"/>
      </w:pPr>
      <w:r>
        <w:t xml:space="preserve">An early hub-UI concept called the ‘Affinity Observatory’ appears to be the same thing as the later ‘Restoration Observatory’ under evolved naming, but this hasn't been explicitly confirmed — flagged as needing verification against later material rather than assumed identical.</w:t>
      </w:r>
    </w:p>
    <w:p>
      <w:pPr>
        <w:pStyle w:val="Heading1"/>
        <w:spacing w:after="200" w:before="400"/>
      </w:pPr>
      <w:r>
        <w:t xml:space="preserve">Part B — Genuinely Unresolved Design Decisions (marked 🟠 directly)</w:t>
      </w:r>
    </w:p>
    <w:p>
      <w:pPr>
        <w:pStyle w:val="Heading2"/>
        <w:spacing w:after="150" w:before="300"/>
      </w:pPr>
      <w:r>
        <w:t xml:space="preserve">B1. Affinity Essence ↔ Catalyst relationship (Part 2)</w:t>
      </w:r>
    </w:p>
    <w:p>
      <w:pPr>
        <w:spacing w:after="120"/>
      </w:pPr>
      <w:r>
        <w:t xml:space="preserve">Essence (Part 3) and Catalyst are both described using catalyst-adjacent language, but whether they're the same substance under two names, two different tools in the same pipeline, or something else entirely has never been resolved — explicitly not just merged because both happen to be called catalysts.</w:t>
      </w:r>
    </w:p>
    <w:p>
      <w:pPr>
        <w:pStyle w:val="Heading2"/>
        <w:spacing w:after="150" w:before="300"/>
      </w:pPr>
      <w:r>
        <w:t xml:space="preserve">B2. Two-Pokémon Affinity Catalyst case (Part 2)</w:t>
      </w:r>
    </w:p>
    <w:p>
      <w:pPr>
        <w:spacing w:after="120"/>
      </w:pPr>
      <w:r>
        <w:t xml:space="preserve">The Affinity Catalyst's behavior when used with a Partner is locked; its behavior in a genuine two-Pokémon synthesis case (rather than one Pokémon + Partner) remains unresolved.</w:t>
      </w:r>
    </w:p>
    <w:p>
      <w:pPr>
        <w:pStyle w:val="Heading2"/>
        <w:spacing w:after="150" w:before="300"/>
      </w:pPr>
      <w:r>
        <w:t xml:space="preserve">B3. Purpose-driven Teams — exact philosophies (Part 2)</w:t>
      </w:r>
    </w:p>
    <w:p>
      <w:pPr>
        <w:spacing w:after="120"/>
      </w:pPr>
      <w:r>
        <w:t xml:space="preserve">Confirmed direction: Valor/Instinct/Mystic/Harmony/Guardian-style purpose factions alongside the existing faction roster, defined by philosophy rather than being another villain-team cliché. Explicitly needs real research into Pokémon GO's actual three teams plus the Harmony precedent (a fan-made unofficial concept, not real Niantic canon — important not to treat as real precedent) before any specific philosophies get written for C.E.R.'s own set. Direction confirmed; the actual philosophies are not designed.</w:t>
      </w:r>
    </w:p>
    <w:p>
      <w:pPr>
        <w:pStyle w:val="Heading2"/>
        <w:spacing w:after="150" w:before="300"/>
      </w:pPr>
      <w:r>
        <w:t xml:space="preserve">B4. Affinity Essence variant structure (Part 3)</w:t>
      </w:r>
    </w:p>
    <w:p>
      <w:pPr>
        <w:spacing w:after="120"/>
      </w:pPr>
      <w:r>
        <w:t xml:space="preserve">Locked: Essence's verb (Catalyze/Synthesize), its role as Synthesis catalyst, and the catalytic-environment guardrail. Unresolved: whether Essence should be 18 Affinity-specific variants, one single Neutral Essence, or a two-stage system (Neutral Essence → Affinity Catalyst). This choice meaningfully changes how elegant the whole system feels and shouldn't default to ‘18 because everything else is 18.’</w:t>
      </w:r>
    </w:p>
    <w:p>
      <w:pPr>
        <w:pStyle w:val="Heading2"/>
        <w:spacing w:after="150" w:before="300"/>
      </w:pPr>
      <w:r>
        <w:t xml:space="preserve">B5. Fossil generation rules &amp; memory probabilities (Part 3)</w:t>
      </w:r>
    </w:p>
    <w:p>
      <w:pPr>
        <w:spacing w:after="120"/>
      </w:pPr>
      <w:r>
        <w:t xml:space="preserve">Locked: the Primary/Secondary/Signature Affinity structure, the Ground-or-Rock restriction, Resonance Purity's meaning, and the no-default-Affinity-grant rule. Unresolved: the exact generation rules, memory probabilities, and Primeval Fossil acquisition specifics.</w:t>
      </w:r>
    </w:p>
    <w:p>
      <w:pPr>
        <w:pStyle w:val="Heading2"/>
        <w:spacing w:after="150" w:before="300"/>
      </w:pPr>
      <w:r>
        <w:t xml:space="preserve">B6. Generation/Affinity pairing model choice (Part 6)</w:t>
      </w:r>
    </w:p>
    <w:p>
      <w:pPr>
        <w:spacing w:after="120"/>
      </w:pPr>
      <w:r>
        <w:t xml:space="preserve">Three models were proposed for how Generation ties into Affinity pairings — Model 2 (reusing the existing move-quality/Poképower system) is Claude's honest lean since it adds no new mechanic and doesn't complicate the already-locked Affinity pairings. Model 3 (a civilizational tech-tier framing) is the most narratively ambitious but needs its own dedicated design pass. Model 1 is most flexible but risks undermining the pairings just locked. Explicitly left as Wesley's call, not decided.</w:t>
      </w:r>
    </w:p>
    <w:p>
      <w:pPr>
        <w:pStyle w:val="Heading2"/>
        <w:spacing w:after="150" w:before="300"/>
      </w:pPr>
      <w:r>
        <w:t xml:space="preserve">B7. Dynamic Population tracking (Part 10)</w:t>
      </w:r>
    </w:p>
    <w:p>
      <w:pPr>
        <w:spacing w:after="120"/>
      </w:pPr>
      <w:r>
        <w:t xml:space="preserve">Reintroduction and Ecological Roles are both now resolved elsewhere (Part 12). Dynamic Population specifically — a spawn system that tracks actual population/habitat/role together, not just yes/no eligibility — remains unresolved/future. The general direction is supported by Part 12's Ecological State system, but no dedicated population-tracking mechanic has been designed.</w:t>
      </w:r>
    </w:p>
    <w:p>
      <w:pPr>
        <w:pStyle w:val="Heading2"/>
        <w:spacing w:after="150" w:before="300"/>
      </w:pPr>
      <w:r>
        <w:t xml:space="preserve">B8. Pokémon care outside combat (Part 12)</w:t>
      </w:r>
    </w:p>
    <w:p>
      <w:pPr>
        <w:spacing w:after="120"/>
      </w:pPr>
      <w:r>
        <w:t xml:space="preserve">A proposal for feeding, resting, friendship, environment, activity, grooming, healing, and enrichment to feed Trainer Affinity directly (and possibly ecological outcomes indirectly). Named and scoped, not mechanically developed.</w:t>
      </w:r>
    </w:p>
    <w:p>
      <w:pPr>
        <w:pStyle w:val="Heading1"/>
        <w:spacing w:after="200" w:before="400"/>
      </w:pPr>
      <w:r>
        <w:t xml:space="preserve">Part C — From the Dedicated Missed Questions Tracker</w:t>
      </w:r>
    </w:p>
    <w:p>
      <w:pPr>
        <w:spacing w:after="120"/>
      </w:pPr>
      <w:r>
        <w:t xml:space="preserve">These were flagged earlier in the project specifically because they got raised, then the conversation moved on before getting a direct answer — worth a clean yes/no whenever convenient rather than staying open by accident.</w:t>
      </w:r>
    </w:p>
    <w:p>
      <w:pPr>
        <w:pStyle w:val="Heading2"/>
        <w:spacing w:after="150" w:before="300"/>
      </w:pPr>
      <w:r>
        <w:t xml:space="preserve">C1. Fusion dynamic-generation fallback</w:t>
      </w:r>
    </w:p>
    <w:p>
      <w:pPr>
        <w:spacing w:after="120"/>
      </w:pPr>
      <w:r>
        <w:t xml:space="preserve">Proposed solution for what happens when no curated custom Fusion model exists for a given species pair: keep the Anchor Pokémon's actual model geometry, texture-blend toward the Partner's palette, swap small cosmetic pieces. Two-tier result: Curated Fusions (flagship pairs, full custom model) vs. Generic Fusions (everything else, always available, no dead end). Response at the time was ‘not yet, need to read’ — never revisited since.</w:t>
      </w:r>
    </w:p>
    <w:p>
      <w:pPr>
        <w:pStyle w:val="Heading2"/>
        <w:spacing w:after="150" w:before="300"/>
      </w:pPr>
      <w:r>
        <w:t xml:space="preserve">C2. Formal Implementation Milestone document</w:t>
      </w:r>
    </w:p>
    <w:p>
      <w:pPr>
        <w:spacing w:after="120"/>
      </w:pPr>
      <w:r>
        <w:t xml:space="preserve">An offer, made during discussion of what the first buildable vertical-slice milestone should be (‘The First Resonance’ / ‘Does the World Actually Answer’), to write this up as its own formal tracked deliverable in the archive. The conversation moved into Resonance Gateway/Z-Crystal material before this got a direct answer.</w:t>
      </w:r>
    </w:p>
    <w:p>
      <w:pPr>
        <w:pStyle w:val="Heading2"/>
        <w:spacing w:after="150" w:before="300"/>
      </w:pPr>
      <w:r>
        <w:t xml:space="preserve">C3. Full Cobblemon Integration Bible audit</w:t>
      </w:r>
    </w:p>
    <w:p>
      <w:pPr>
        <w:spacing w:after="120"/>
      </w:pPr>
      <w:r>
        <w:t xml:space="preserve">Part 16's audit proposes an even deeper follow-up: going through every current Cobblemon 1.8 system individually — every item family, block, structure, spawning context, datapack hook — and assigning each one KEEP NATIVE / INTEGRATE / MODIFY / EXPAND / REPLACE / IGNORE / INVESTIGATE, explicitly framed as the step before touching actual implementation. Never confirmed or declined.</w:t>
      </w:r>
    </w:p>
    <w:p>
      <w:pPr>
        <w:pStyle w:val="Heading2"/>
        <w:spacing w:after="150" w:before="300"/>
      </w:pPr>
      <w:r>
        <w:t xml:space="preserve">C4. Synthesizer vs. Synthesis Chamber naming (Part 13)</w:t>
      </w:r>
    </w:p>
    <w:p>
      <w:pPr>
        <w:spacing w:after="120"/>
      </w:pPr>
      <w:r>
        <w:t xml:space="preserve">Two different recovered research passes produced two different names for what may be the same apparatus, or may actually be two different things — a research-tier device (Synthesizer) preceding a more significant multiblock (Chamber). Explicitly flagged for a direct call rather than either name being picked by default.</w:t>
      </w:r>
    </w:p>
    <w:p>
      <w:pPr>
        <w:pStyle w:val="Heading1"/>
        <w:spacing w:after="200" w:before="400"/>
      </w:pPr>
      <w:r>
        <w:t xml:space="preserve">Part D — Current Proposals Not Yet Locked</w:t>
      </w:r>
    </w:p>
    <w:p>
      <w:pPr>
        <w:spacing w:after="120"/>
      </w:pPr>
      <w:r>
        <w:t xml:space="preserve">A sample of items marked 🔵 Current Proposal across the archive — real, developed ideas that haven't crossed into 🔒 Locked status yet. Not exhaustive, but representative of what's sitting at this stage.</w:t>
      </w:r>
    </w:p>
    <w:p>
      <w:pPr>
        <w:pStyle w:val="ListParagraph"/>
        <w:numPr>
          <w:ilvl w:val="0"/>
          <w:numId w:val="1"/>
        </w:numPr>
        <w:spacing w:after="60"/>
      </w:pPr>
      <w:r>
        <w:t xml:space="preserve">Positive Resonance Phenomena (Part 3) — the positive-valence counterpart to the existing ‘UNSTABLE RESONANCE DETECTED’ crisis event; successful restoration triggering its own discovery event rather than just raising a number. Concept and trigger condition are sound; exact mechanics (detection, reward table, frequency) not designed.</w:t>
      </w:r>
    </w:p>
    <w:p>
      <w:pPr>
        <w:pStyle w:val="ListParagraph"/>
        <w:numPr>
          <w:ilvl w:val="0"/>
          <w:numId w:val="1"/>
        </w:numPr>
        <w:spacing w:after="60"/>
      </w:pPr>
      <w:r>
        <w:t xml:space="preserve">Battle Tower + TBCS/Easy NPC ‘Trial Chamber’ concept (Part 10) — a custom structure giving trainer challenges physical presence (teleport + spawn a visible trainer with a random team) built on infrastructure already locked, rather than modifying Battle Tower itself. Concept and technical path are clear; the actual arena design and team-pool data aren't built.</w:t>
      </w:r>
    </w:p>
    <w:p>
      <w:pPr>
        <w:pStyle w:val="ListParagraph"/>
        <w:numPr>
          <w:ilvl w:val="0"/>
          <w:numId w:val="1"/>
        </w:numPr>
        <w:spacing w:after="60"/>
      </w:pPr>
      <w:r>
        <w:t xml:space="preserve">Various Observatory build-geometry and visual interpretation items (Part 17) — the floating-arch and Tree-Ring variants remain alternative interpretations rather than a single locked design.</w:t>
      </w:r>
    </w:p>
    <w:p>
      <w:pPr>
        <w:pStyle w:val="Heading1"/>
        <w:spacing w:after="200" w:before="400"/>
      </w:pPr>
      <w:r>
        <w:t xml:space="preserve">A Closing Note</w:t>
      </w:r>
    </w:p>
    <w:p>
      <w:pPr>
        <w:spacing w:after="120"/>
      </w:pPr>
      <w:r>
        <w:rPr>
          <w:i/>
          <w:iCs/>
        </w:rPr>
        <w:t xml:space="preserve">This is a strong-effort pass, not a guaranteed-complete mechanical scan of every line in every file — the same honest caveat the original Missed Questions tracker carries. If you want higher confidence that nothing else is sitting open, the most reliable path is pointing at specific stretches of the project you remember being unsure about, rather than asking for one more general sweep — recall and targeted search are both good tools here, but neither is a substitute for you flagging a specific area you want double-checked.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2026-09-14T15:30:59.801Z</dcterms:created>
  <dcterms:modified xsi:type="dcterms:W3CDTF">2026-09-14T15:30:59.801Z</dcterms:modified>
</cp:coreProperties>
</file>

<file path=docProps/custom.xml><?xml version="1.0" encoding="utf-8"?>
<Properties xmlns="http://schemas.openxmlformats.org/officeDocument/2006/custom-properties" xmlns:vt="http://schemas.openxmlformats.org/officeDocument/2006/docPropsVTypes"/>
</file>