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1: Project Identity &amp; Core Systems</w:t>
      </w:r>
    </w:p>
    <w:p>
      <w:pPr>
        <w:spacing w:after="120"/>
      </w:pPr>
      <w:r>
        <w:rPr>
          <w:i/>
          <w:iCs/>
        </w:rPr>
        <w:t xml:space="preserve">Compiled by Claude, September 2026, under Free Reign Mode / TriSweep. Covers: project identity, the World Affinity system, the Personal (Trainer) Affinity system, Resonance, EV/IV training, and the custom-species/Fusion architecture. See the Authorities Archive for the status-tag legend and F.R.M./sweep rules governing this document. Later parts (Legendary Domains, breeding/life system, Pokémon variants, factions, mods) are in progress.</w:t>
      </w:r>
    </w:p>
    <w:p>
      <w:pPr>
        <w:pStyle w:val="Heading2"/>
        <w:spacing w:after="150" w:before="300"/>
      </w:pPr>
      <w:r>
        <w:t xml:space="preserve">1. Project Identity</w:t>
      </w:r>
    </w:p>
    <w:p>
      <w:pPr>
        <w:spacing w:after="120"/>
      </w:pPr>
      <w:r>
        <w:t xml:space="preserve">Name: Cobblemon: Ecological Resonance (C.E.R. / E.R.). Status: 🔒 Locked — chosen after extensive comparison against “Resonance of the Living World,” “The Living World,” “Reawakening,” and others. “Project Riispawn” is retained as an internal development codename, separate from the public title.</w:t>
      </w:r>
    </w:p>
    <w:p>
      <w:pPr>
        <w:spacing w:after="120"/>
      </w:pPr>
      <w:r>
        <w:t xml:space="preserve">Core fantasy: the world isn't dead — it's damaged, dormant, and trying to heal. The player becomes an agent of ecological restoration; Pokémon, Resonance, exploration, research, and rebuilding all feed into one another rather than existing as separate feature trees.</w:t>
      </w:r>
    </w:p>
    <w:p>
      <w:pPr>
        <w:spacing w:after="120"/>
      </w:pPr>
      <w:r>
        <w:t xml:space="preserve">The C.E.R./E.R. initialism doubles as a deliberate “Emergency Room” motif: the world is treated as a patient, restoration as treatment, Resonance as the diagnostic/connection mechanism, and regions can be formally classified by percentage (“Ecological Resonance: 37% — Status: Critical” → “100% — Status: Resonant”). Not meant to be advertised outright to players — an internal layer of terminology they can gradually notice.</w:t>
      </w:r>
    </w:p>
    <w:p>
      <w:pPr>
        <w:spacing w:after="120"/>
      </w:pPr>
      <w:r>
        <w:t xml:space="preserve">Platform: Minecraft 1.21.1, NeoForge, Cobblemon, KubeJS-driven scripting layer, built as a distinct “Restoration Engine” layer on top of Cobblemon rather than trying to find one mod that does everything. Status: 🔒 Locked.</w:t>
      </w:r>
    </w:p>
    <w:p>
      <w:pPr>
        <w:spacing w:after="120"/>
      </w:pPr>
      <w:r>
        <w:t xml:space="preserve">Core design principles: Creation Over Crafting (C.O.C.) and Discovery Over Prescription (D.O.P.) — see the Authorities Archive. An explicit anti-pay-to-win principle also applies to any monetization if the pack or a standalone spinoff is ever distributed.</w:t>
      </w:r>
    </w:p>
    <w:p>
      <w:pPr>
        <w:pStyle w:val="Heading2"/>
        <w:spacing w:after="150" w:before="300"/>
      </w:pPr>
      <w:r>
        <w:t xml:space="preserve">2. World Affinity System</w:t>
      </w:r>
    </w:p>
    <w:p>
      <w:pPr>
        <w:spacing w:after="120"/>
      </w:pPr>
      <w:r>
        <w:t xml:space="preserve">The world has 18 independent Affinity values, one per Pokémon type, each starting at 0. Affinity is a separate attribute from a Pokémon's normal Pokémon type — a Pikachu keeps its Electric type while separately carrying an Affinity (e.g. Storm) that interacts with Ecological Resonance systems, not the type chart.</w:t>
      </w:r>
    </w:p>
    <w:p>
      <w:pPr>
        <w:spacing w:after="120"/>
      </w:pPr>
      <w:r>
        <w:t xml:space="preserve">0 doesn't mean a type is impossible to encounter — it means “the world has forgotten this type.” Rare remnants can still exist via special encounters, structures, and fossils even at 0.</w:t>
      </w:r>
    </w:p>
    <w:p>
      <w:pPr>
        <w:pStyle w:val="Heading3"/>
        <w:spacing w:after="100" w:before="200"/>
      </w:pPr>
      <w:r>
        <w:t xml:space="preserve">World state by affinity value (0–999, with 1000 = fully Restored)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Affinity value</w:t>
            </w:r>
          </w:p>
        </w:tc>
        <w:tc>
          <w:tcPr>
            <w:tcW w:type="dxa" w:w="6800"/>
            <w:shd w:fill="D9D9D9" w:val="clear"/>
          </w:tcPr>
          <w:p>
            <w:r>
              <w:rPr>
                <w:b/>
                <w:bCs/>
              </w:rPr>
              <w:t xml:space="preserve">World state</w:t>
            </w:r>
          </w:p>
        </w:tc>
      </w:tr>
      <w:tr>
        <w:tc>
          <w:tcPr>
            <w:tcW w:type="dxa" w:w="2200"/>
          </w:tcPr>
          <w:p>
            <w:r>
              <w:t xml:space="preserve">0–99</w:t>
            </w:r>
          </w:p>
        </w:tc>
        <w:tc>
          <w:tcPr>
            <w:tcW w:type="dxa" w:w="6800"/>
          </w:tcPr>
          <w:p>
            <w:r>
              <w:t xml:space="preserve">Forgotten</w:t>
            </w:r>
          </w:p>
        </w:tc>
      </w:tr>
      <w:tr>
        <w:tc>
          <w:tcPr>
            <w:tcW w:type="dxa" w:w="2200"/>
          </w:tcPr>
          <w:p>
            <w:r>
              <w:t xml:space="preserve">100–249</w:t>
            </w:r>
          </w:p>
        </w:tc>
        <w:tc>
          <w:tcPr>
            <w:tcW w:type="dxa" w:w="6800"/>
          </w:tcPr>
          <w:p>
            <w:r>
              <w:t xml:space="preserve">Stirring</w:t>
            </w:r>
          </w:p>
        </w:tc>
      </w:tr>
      <w:tr>
        <w:tc>
          <w:tcPr>
            <w:tcW w:type="dxa" w:w="2200"/>
          </w:tcPr>
          <w:p>
            <w:r>
              <w:t xml:space="preserve">250–499</w:t>
            </w:r>
          </w:p>
        </w:tc>
        <w:tc>
          <w:tcPr>
            <w:tcW w:type="dxa" w:w="6800"/>
          </w:tcPr>
          <w:p>
            <w:r>
              <w:t xml:space="preserve">Returning</w:t>
            </w:r>
          </w:p>
        </w:tc>
      </w:tr>
      <w:tr>
        <w:tc>
          <w:tcPr>
            <w:tcW w:type="dxa" w:w="2200"/>
          </w:tcPr>
          <w:p>
            <w:r>
              <w:t xml:space="preserve">500–749</w:t>
            </w:r>
          </w:p>
        </w:tc>
        <w:tc>
          <w:tcPr>
            <w:tcW w:type="dxa" w:w="6800"/>
          </w:tcPr>
          <w:p>
            <w:r>
              <w:t xml:space="preserve">Established</w:t>
            </w:r>
          </w:p>
        </w:tc>
      </w:tr>
      <w:tr>
        <w:tc>
          <w:tcPr>
            <w:tcW w:type="dxa" w:w="2200"/>
          </w:tcPr>
          <w:p>
            <w:r>
              <w:t xml:space="preserve">750–899</w:t>
            </w:r>
          </w:p>
        </w:tc>
        <w:tc>
          <w:tcPr>
            <w:tcW w:type="dxa" w:w="6800"/>
          </w:tcPr>
          <w:p>
            <w:r>
              <w:t xml:space="preserve">Thriving</w:t>
            </w:r>
          </w:p>
        </w:tc>
      </w:tr>
      <w:tr>
        <w:tc>
          <w:tcPr>
            <w:tcW w:type="dxa" w:w="2200"/>
          </w:tcPr>
          <w:p>
            <w:r>
              <w:t xml:space="preserve">900–999</w:t>
            </w:r>
          </w:p>
        </w:tc>
        <w:tc>
          <w:tcPr>
            <w:tcW w:type="dxa" w:w="6800"/>
          </w:tcPr>
          <w:p>
            <w:r>
              <w:t xml:space="preserve">Dominant</w:t>
            </w:r>
          </w:p>
        </w:tc>
      </w:tr>
      <w:tr>
        <w:tc>
          <w:tcPr>
            <w:tcW w:type="dxa" w:w="2200"/>
          </w:tcPr>
          <w:p>
            <w:r>
              <w:t xml:space="preserve">1000</w:t>
            </w:r>
          </w:p>
        </w:tc>
        <w:tc>
          <w:tcPr>
            <w:tcW w:type="dxa" w:w="6800"/>
          </w:tcPr>
          <w:p>
            <w:r>
              <w:t xml:space="preserve">Restored</w:t>
            </w:r>
          </w:p>
        </w:tc>
      </w:tr>
    </w:tbl>
    <w:p>
      <w:pPr>
        <w:spacing w:after="120"/>
      </w:pPr>
      <w:r>
        <w:t xml:space="preserve">Status: 🟢 Strong reconstruction — this is the earliest full articulation of the system and stayed structurally consistent through later discussion, though exact numeric thresholds should be treated as tunable, not locked.</w:t>
      </w:r>
    </w:p>
    <w:p>
      <w:pPr>
        <w:spacing w:after="120"/>
      </w:pPr>
      <w:r>
        <w:rPr>
          <w:i/>
          <w:iCs/>
        </w:rPr>
        <w:t xml:space="preserve">Wesley's explicit rationale for deferring exact totals (World and Personal Affinity alike): the total value has to be reachable through accumulation across many different fronts — world events, side activities, Affinity-based rewards, etc. — and individual reward sizes need to stay proportionate to that total (a total of 100 with 50-point rewards half-fills the bar in one task; a total of 3000 with .0001-point rewards makes every task feel pointless). Deciding the actual numbers before deciding how widely Affinity is dispersed and integrated across systems would mean picking numbers blind. Deliberately held open until that breadth is decided — not a gap, an intentional sequencing choice.</w:t>
      </w:r>
    </w:p>
    <w:p>
      <w:pPr>
        <w:pStyle w:val="Heading3"/>
        <w:spacing w:after="100" w:before="200"/>
      </w:pPr>
      <w:r>
        <w:t xml:space="preserve">Ecological effect, not just a spawn switch</w:t>
      </w:r>
    </w:p>
    <w:p>
      <w:pPr>
        <w:spacing w:after="120"/>
      </w:pPr>
      <w:r>
        <w:t xml:space="preserve">High affinity in one type actively reshapes what can live in the world via an Affinity Matrix of relationship weights (e.g. high Fire suppresses Grass/Bug/Ice spawn weight while barely touching Psychic/Normal/Fairy) — explicitly decoupled from Pokémon-type battle weaknesses, since ecological relationships and battle match-ups are different axes that happen to correlate sometimes, not always.</w:t>
      </w:r>
    </w:p>
    <w:p>
      <w:pPr>
        <w:spacing w:after="120"/>
      </w:pPr>
      <w:r>
        <w:t xml:space="preserve">Final spawn weight is conceptually: Base Species Weight × Biome Weight × Type Affinity Modifier × Counter-Affinity Modifier × Restoration Modifier × Player/World Unlock Modifier. Suppressed types become ecologically unlikely, not forbidden.</w:t>
      </w:r>
    </w:p>
    <w:p>
      <w:pPr>
        <w:pStyle w:val="Heading3"/>
        <w:spacing w:after="100" w:before="200"/>
      </w:pPr>
      <w:r>
        <w:t xml:space="preserve">How affinity is generated</w:t>
      </w:r>
    </w:p>
    <w:p>
      <w:pPr>
        <w:spacing w:after="120"/>
      </w:pPr>
      <w:r>
        <w:t xml:space="preserve">Capturing matters far more than killing (encounter +0.1, defeat +0.5, catch +3, raise/evolve +5, restore habitat +50, as illustrative starting values) — the system is meant to reward care/restoration/preservation over farm-and-kill loops. Negative actions (extinguishing fires, killing Pokémon of a type, actively working against a habitat) apply small penalties, deliberately kept tiny so players can't accidentally wreck an ecosystem by routine play.</w:t>
      </w:r>
    </w:p>
    <w:p>
      <w:pPr>
        <w:spacing w:after="120"/>
      </w:pPr>
      <w:r>
        <w:t xml:space="preserve">This decay applies to WORLD Affinity specifically — an ecosystem/regional value, not the player's own Trainer/Personal Affinity (see the Permanence rule below, which is the opposite: Personal Affinity never decays). World Affinity decays very slowly toward equilibrium (illustrative: ~1 point/Minecraft day) rather than requiring constant maintenance, and generation scales through three phases: Phase I — manual player interaction; Phase II — infrastructure (industrial furnace, aqueduct, irrigation network, power station generating affinity/day); Phase III — Stabilization, where a late-game Affinity Stabilizer locks an ecosystem's value so it stops decaying, i.e. permanently restored. Magic (e.g. Ars Nouveau rituals, Occultism spirit binding) was proposed as the stabilizing counterpart to Create/tech's generating role.</w:t>
      </w:r>
    </w:p>
    <w:p>
      <w:pPr>
        <w:spacing w:after="120"/>
      </w:pPr>
      <w:r>
        <w:t xml:space="preserve">Resolves an interpretive disagreement worth recording: a follow-up ChatGPT pass read a later clarifying passage (“World Affinity should never require constant player maintenance”) as evidence the decay mechanic was never actually locked. Checked directly against that passage in full context: it's a refinement of HOW decay should feel (gradual, tied to sustained settlement/generation health, never an immediate punishing drop), not a reversal of decay existing at all — confirmed by an adjacent line describing a Fire Noble's defeat as making Fire “no longer require constant maintenance,” which only makes sense if maintenance was needed before that point. Wesley's direct call: keep the decay + Stabilizer mechanic as written above.</w:t>
      </w:r>
    </w:p>
    <w:p>
      <w:pPr>
        <w:pStyle w:val="Heading3"/>
        <w:spacing w:after="100" w:before="200"/>
      </w:pPr>
      <w:r>
        <w:t xml:space="preserve">Two-phase decay model (Wesley, Sept 2026) — unifies World and Trainer Affinity under one logic</w:t>
      </w:r>
    </w:p>
    <w:p>
      <w:pPr>
        <w:spacing w:after="120"/>
      </w:pPr>
      <w:r>
        <w:t xml:space="preserve">A refinement that resolves the whole decay question elegantly rather than picking one rule over the other: World Affinity follows two different phases depending on whether its region's Stabilizer has been activated. Phase 1 (pre-Stabilizer): the original ~1 point/Minecraft day decay toward equilibrium applies exactly as described above — nothing is anchoring the region's Affinity yet, so it naturally drifts. Phase 2 (post-Stabilizer): the moment a player activates that region's Affinity Stabilizer, the underlying Affinity value becomes locked/permanent — the same rule Trainer Affinity already has (see the Permanence rule below) — and a Resonance-equivalent layer for that region takes over as the thing that can still fluctuate with ongoing activity/neglect, rather than the core Affinity number itself.</w:t>
      </w:r>
    </w:p>
    <w:p>
      <w:pPr>
        <w:spacing w:after="120"/>
      </w:pPr>
      <w:r>
        <w:t xml:space="preserve">This creates a clean, satisfying symmetry between the two systems instead of an arbitrary difference between them: both World and Trainer Affinity ultimately follow “permanent core value, fluctuating Resonance layer on top” — the only real difference is that the Trainer's permanence was true from the moment they earned it, while a region's permanence has to be actively built and earned through restoring and stabilizing it. Status: 🕒 Locked — this is now the governing model for World Affinity decay, superseding the flat “always decays until eternity” reading.</w:t>
      </w:r>
    </w:p>
    <w:p>
      <w:pPr>
        <w:pStyle w:val="Heading3"/>
        <w:spacing w:after="100" w:before="200"/>
      </w:pPr>
      <w:r>
        <w:t xml:space="preserve">Lore payoff: the Sundering destroyed the Stabilizers (Wesley, Sept 2026)</w:t>
      </w:r>
    </w:p>
    <w:p>
      <w:pPr>
        <w:spacing w:after="120"/>
      </w:pPr>
      <w:r>
        <w:t xml:space="preserve">A genuinely excellent connective piece, proposed directly in response to confirming the decay mechanic above: the reason the world is in such bad shape at the start of the game isn't simply “accumulated slow decay over unknown time” — it's that Affinity Stabilizers, which an ancient civilization had built and maintained to lock World Affinity in a restored state (Phase 2 of the two-phase model above), were destroyed during the Sundering (the working-name ancient war/catastrophe first proposed as an original C.E.R. backstory, inspired by real Pokémon canon patterns like the AZ/Ultimate Weapon story — not previously formally recorded in this archive until now). Every region the player finds has been forced back into Phase 1 as a direct result — not because it was never restored, but because it WAS restored once, and the thing keeping it that way was destroyed. That reframes the player's entire restoration arc: they aren't building something new, they're rebuilding something the world already had and lost.</w:t>
      </w:r>
    </w:p>
    <w:p>
      <w:pPr>
        <w:spacing w:after="120"/>
      </w:pPr>
      <w:r>
        <w:t xml:space="preserve">This ties directly into Part 2's already-locked story payoff (the ancient civilization severing humanity's access to the Domains, sealing them off rather than destroying them) — the Sundering is the event that necessitated both: the civilization sealed the Domains AND lost the Stabilizers in the same catastrophe, which is why restoring the Stabilizer technology becomes a genuine late-game goal with real narrative weight (rebuilding lost civilization-level infrastructure, not just building new tech) rather than an arbitrary crafting unlock. Status: 🔵 Current proposal, genuinely strong — first formal record of the Sundering concept in this archive, directly confirmed and extended by Wesley.</w:t>
      </w:r>
    </w:p>
    <w:p>
      <w:pPr>
        <w:pStyle w:val="Heading3"/>
        <w:spacing w:after="100" w:before="200"/>
      </w:pPr>
      <w:r>
        <w:t xml:space="preserve">Safeguards</w:t>
      </w:r>
    </w:p>
    <w:p>
      <w:pPr>
        <w:pStyle w:val="ListParagraph"/>
        <w:numPr>
          <w:ilvl w:val="0"/>
          <w:numId w:val="1"/>
        </w:numPr>
        <w:spacing w:after="60"/>
      </w:pPr>
      <w:r>
        <w:t xml:space="preserve">Minimum ecosystem floors (e.g. a type cannot naturally fall below ~10% baseline) to prevent an irrecoverable death-spiral where a suppressed type's own suppression drives it further down.</w:t>
      </w:r>
    </w:p>
    <w:p>
      <w:pPr>
        <w:pStyle w:val="ListParagraph"/>
        <w:numPr>
          <w:ilvl w:val="0"/>
          <w:numId w:val="1"/>
        </w:numPr>
        <w:spacing w:after="60"/>
      </w:pPr>
      <w:r>
        <w:t xml:space="preserve">Affinity refuges — protected locations (Ancient Grove, Frozen Sanctuary, Sacred Lake, Dragon Shrine, etc.) where a specific type's affinity has a raised floor, explaining why a suppressed type still survives somewhere and giving exploration a reason to exist.</w:t>
      </w:r>
    </w:p>
    <w:p>
      <w:pPr>
        <w:pStyle w:val="ListParagraph"/>
        <w:numPr>
          <w:ilvl w:val="0"/>
          <w:numId w:val="1"/>
        </w:numPr>
        <w:spacing w:after="60"/>
      </w:pPr>
      <w:r>
        <w:t xml:space="preserve">A hidden World Balance value measuring how unevenly the 18 affinities are distributed — the true late-game objective isn't “restore all 18 to 100,” it's restore balance between them, tying into the implied mystery of why the ancient civilization removed Pokémon in the first place (possibly an attempt to control World Balance, not the Pokémon themselves). Status: 🟡 Candidate — evocative worldbuilding hook, not confirmed as locked story canon.</w:t>
      </w:r>
    </w:p>
    <w:p>
      <w:pPr>
        <w:pStyle w:val="Heading3"/>
        <w:spacing w:after="100" w:before="200"/>
      </w:pPr>
      <w:r>
        <w:t xml:space="preserve">Visibility to the player</w:t>
      </w:r>
    </w:p>
    <w:p>
      <w:pPr>
        <w:spacing w:after="120"/>
      </w:pPr>
      <w:r>
        <w:t xml:space="preserve">World Affinity is meant to be felt environmentally (embers appearing at 100 Fire, volcanic activity at 500, rare species at 900, etc.) before it's read numerically. An early central hub UI concept (“Affinity Observatory”, later folded into what the memory export calls the Restoration Observatory) shows all 18 as bar readouts; portable versions were proposed as a Resonance Compass (qualitative flavor text) upgrading to a Resonance Scanner (exact numbers) as a progression reward. Status: 🟡 Candidate/❓ needs verification against later Observatory naming — “Affinity Observatory” here vs. “Restoration Observatory” in later material appear to be the same concept under evolved naming.</w:t>
      </w:r>
    </w:p>
    <w:p>
      <w:pPr>
        <w:pStyle w:val="Heading3"/>
        <w:spacing w:after="100" w:before="200"/>
      </w:pPr>
      <w:r>
        <w:t xml:space="preserve">High-affinity encounters (“Nobles”)</w:t>
      </w:r>
    </w:p>
    <w:p>
      <w:pPr>
        <w:spacing w:after="120"/>
      </w:pPr>
      <w:r>
        <w:t xml:space="preserve">At the originating point in the conversation, extremely high single-type affinity (750/900/1000) was proposed to produce rare species, then a special “Noble” encounter, framed as the spirit/guardian of a restored ecosystem rather than simply a stronger Pokémon; defeating/capturing/appeasing a Noble could stabilize that type's affinity outright. Status: ❓ Needs verification — later material (see Section 3 forward and the ChatGPT memory export) discusses Legendary/Mythical recognition and Domain Authority in terms that look like an evolution of this same idea; whether “Noble” survived as separate terminology or was fully absorbed into the Legendary Domain system isn't resolved in pt1–pt3 alone. Flagging for cross-reference in Part 2.</w:t>
      </w:r>
    </w:p>
    <w:p>
      <w:pPr>
        <w:pStyle w:val="Heading2"/>
        <w:spacing w:after="150" w:before="300"/>
      </w:pPr>
      <w:r>
        <w:t xml:space="preserve">3. Personal (Trainer) Affinity System</w:t>
      </w:r>
    </w:p>
    <w:p>
      <w:pPr>
        <w:spacing w:after="120"/>
      </w:pPr>
      <w:r>
        <w:t xml:space="preserve">Deliberately given a different job from World Affinity so both remain worth pursuing: World Affinity determines what the world can provide; Personal Affinity determines what the player can personally do with it. A player can be a Personal Fire specialist in a world that's still ecologically starved of Fire, or vice versa — neither meter can substitute for the other.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Personal level</w:t>
            </w:r>
          </w:p>
        </w:tc>
        <w:tc>
          <w:tcPr>
            <w:tcW w:type="dxa" w:w="6800"/>
            <w:shd w:fill="D9D9D9" w:val="clear"/>
          </w:tcPr>
          <w:p>
            <w:r>
              <w:rPr>
                <w:b/>
                <w:bCs/>
              </w:rPr>
              <w:t xml:space="preserve">Effect</w:t>
            </w:r>
          </w:p>
        </w:tc>
      </w:tr>
      <w:tr>
        <w:tc>
          <w:tcPr>
            <w:tcW w:type="dxa" w:w="2200"/>
          </w:tcPr>
          <w:p>
            <w:r>
              <w:t xml:space="preserve">10</w:t>
            </w:r>
          </w:p>
        </w:tc>
        <w:tc>
          <w:tcPr>
            <w:tcW w:type="dxa" w:w="6800"/>
          </w:tcPr>
          <w:p>
            <w:r>
              <w:t xml:space="preserve">Basic type recognition</w:t>
            </w:r>
          </w:p>
        </w:tc>
      </w:tr>
      <w:tr>
        <w:tc>
          <w:tcPr>
            <w:tcW w:type="dxa" w:w="2200"/>
          </w:tcPr>
          <w:p>
            <w:r>
              <w:t xml:space="preserve">25</w:t>
            </w:r>
          </w:p>
        </w:tc>
        <w:tc>
          <w:tcPr>
            <w:tcW w:type="dxa" w:w="6800"/>
          </w:tcPr>
          <w:p>
            <w:r>
              <w:t xml:space="preserve">Type-related interactions improve</w:t>
            </w:r>
          </w:p>
        </w:tc>
      </w:tr>
      <w:tr>
        <w:tc>
          <w:tcPr>
            <w:tcW w:type="dxa" w:w="2200"/>
          </w:tcPr>
          <w:p>
            <w:r>
              <w:t xml:space="preserve">50</w:t>
            </w:r>
          </w:p>
        </w:tc>
        <w:tc>
          <w:tcPr>
            <w:tcW w:type="dxa" w:w="6800"/>
          </w:tcPr>
          <w:p>
            <w:r>
              <w:t xml:space="preserve">Specialist abilities unlock</w:t>
            </w:r>
          </w:p>
        </w:tc>
      </w:tr>
      <w:tr>
        <w:tc>
          <w:tcPr>
            <w:tcW w:type="dxa" w:w="2200"/>
          </w:tcPr>
          <w:p>
            <w:r>
              <w:t xml:space="preserve">75</w:t>
            </w:r>
          </w:p>
        </w:tc>
        <w:tc>
          <w:tcPr>
            <w:tcW w:type="dxa" w:w="6800"/>
          </w:tcPr>
          <w:p>
            <w:r>
              <w:t xml:space="preserve">Advanced type perks</w:t>
            </w:r>
          </w:p>
        </w:tc>
      </w:tr>
      <w:tr>
        <w:tc>
          <w:tcPr>
            <w:tcW w:type="dxa" w:w="2200"/>
          </w:tcPr>
          <w:p>
            <w:r>
              <w:t xml:space="preserve">90</w:t>
            </w:r>
          </w:p>
        </w:tc>
        <w:tc>
          <w:tcPr>
            <w:tcW w:type="dxa" w:w="6800"/>
          </w:tcPr>
          <w:p>
            <w:r>
              <w:t xml:space="preserve">Mastery</w:t>
            </w:r>
          </w:p>
        </w:tc>
      </w:tr>
      <w:tr>
        <w:tc>
          <w:tcPr>
            <w:tcW w:type="dxa" w:w="2200"/>
          </w:tcPr>
          <w:p>
            <w:r>
              <w:t xml:space="preserve">100</w:t>
            </w:r>
          </w:p>
        </w:tc>
        <w:tc>
          <w:tcPr>
            <w:tcW w:type="dxa" w:w="6800"/>
          </w:tcPr>
          <w:p>
            <w:r>
              <w:t xml:space="preserve">Type specialization / capstone</w:t>
            </w:r>
          </w:p>
        </w:tc>
      </w:tr>
    </w:tbl>
    <w:p>
      <w:pPr>
        <w:spacing w:after="120"/>
      </w:pPr>
      <w:r>
        <w:t xml:space="preserve">(World Affinity has its own separate milestone table — 10/25/50/75/90/95+/100 — governing ecosystem/species availability rather than player capability; see Section 2.)</w:t>
      </w:r>
    </w:p>
    <w:p>
      <w:pPr>
        <w:pStyle w:val="Heading3"/>
        <w:spacing w:after="100" w:before="200"/>
      </w:pPr>
      <w:r>
        <w:t xml:space="preserve">Trainer Affinity progression philosophy (resolves an earlier naming ambiguity)</w:t>
      </w:r>
    </w:p>
    <w:p>
      <w:pPr>
        <w:spacing w:after="120"/>
      </w:pPr>
      <w:r>
        <w:t xml:space="preserve">A follow-up deep sweep on Affinity Exposure recovered a third, genuinely distinct band-naming set, resolving what Part 10 had flagged as a possibly-duplicate of the World Affinity tier table above: this one is specifically Trainer/Personal Affinity's own qualitative progression, not a restatement of World Affinity's tiers (Section 2) or Restoration Stages (Part 12, the region/world-level Dormant→Recovering→Stable→Flourishing→Resonant scale). Conceptual bands: 0–20 Initial Awakening, 20–40 Recovery, 40–60 Stabilization, 60–80 Flourishing, 80–95 Deep Restoration, 95–100 Resonance Completion — explicitly conceptual framing rather than final UI labels.</w:t>
      </w:r>
    </w:p>
    <w:p>
      <w:pPr>
        <w:spacing w:after="120"/>
      </w:pPr>
      <w:r>
        <w:t xml:space="preserve">Governing philosophy, worth preserving directly: Affinity should be paced by discovery and restoration depth, not resource accumulation — Early Affinity = participation, Late Affinity = understanding. The player shouldn't reach 100 in a given Affinity simply by repeating “catch 500 Fire Pokémon”; the final stretch should require discovering what that Affinity still lacks. Status: 🟢 Strong reconstruction — now confirmed as its own distinct concept across two independent sweep passes, not a naming collision with World Affinity's tiers or Restoration Stages.</w:t>
      </w:r>
    </w:p>
    <w:p>
      <w:pPr>
        <w:pStyle w:val="Heading3"/>
        <w:spacing w:after="100" w:before="200"/>
      </w:pPr>
      <w:r>
        <w:t xml:space="preserve">Permanence rule, recovered: Affinity doesn't decay, Resonance does</w:t>
      </w:r>
    </w:p>
    <w:p>
      <w:pPr>
        <w:spacing w:after="120"/>
      </w:pPr>
      <w:r>
        <w:t xml:space="preserve">A genuine correction recovered from the source material, previously missing from this archive despite being an explicit design decision: Trainer/Personal Affinity is PERMANENT once earned — “you earned it, you keep it,” full stop, no decay under any circumstance. This is deliberately distinct from World Affinity above, which DOES decay slowly toward equilibrium until a late-game Affinity Stabilizer locks it — the two systems behave differently on purpose, not inconsistently.</w:t>
      </w:r>
    </w:p>
    <w:p>
      <w:pPr>
        <w:spacing w:after="120"/>
      </w:pPr>
      <w:r>
        <w:t xml:space="preserve">What actually responds to neglect is Active Resonance, not Affinity itself: Active Resonance can “cool down” if a Type goes unused for an extended period (e.g. spending weeks focused on Ice lets Fire Resonance drop even though Fire Affinity itself stays exactly where it was earned), and Dormant Affinity (an Affinity not currently active/selected) stays fully preserved but becomes less efficient until reawakened. The intended player feeling, stated directly in the source: not “oh no, I haven't farmed Fire today, I need to go grind,” but “I've been using Ice all week, so my Fire Resonance is getting cold — maybe I'll stop by the forge.” A gentle pull back toward variety, not a punishment for specializing. Status: 🕒 Locked — explicit design decision, recovered directly from source material rather than reconstructed.</w:t>
      </w:r>
    </w:p>
    <w:p>
      <w:pPr>
        <w:pStyle w:val="Heading3"/>
        <w:spacing w:after="100" w:before="200"/>
      </w:pPr>
      <w:r>
        <w:t xml:space="preserve">Capacity, not a checklist</w:t>
      </w:r>
    </w:p>
    <w:p>
      <w:pPr>
        <w:spacing w:after="120"/>
      </w:pPr>
      <w:r>
        <w:t xml:space="preserve">Players cannot maintain all 18 personal affinities at full strength — an Affinity Capacity limits how many can be Active at once (illustrative progression: 2 at the start → 3 early → 4 mid → 5 advanced → 6 endgame → 7–8 at mastery). Everything discovered beyond that capacity becomes Dormant — preserved, not lost, and drifting slowly toward a baseline unless stabilized. Changing the active loadout (“Resonate” to activate, “Release”/“Severance” to deactivate) happens at a Resonance Shrine / Attunement Chamber, with a resource/time/cooldown cost that eases as the player builds a proper Attunement Chamber later on.</w:t>
      </w:r>
    </w:p>
    <w:p>
      <w:pPr>
        <w:pStyle w:val="Heading3"/>
        <w:spacing w:after="100" w:before="200"/>
      </w:pPr>
      <w:r>
        <w:t xml:space="preserve">Resonance Energy and type relationships</w:t>
      </w:r>
    </w:p>
    <w:p>
      <w:pPr>
        <w:spacing w:after="120"/>
      </w:pPr>
      <w:r>
        <w:t xml:space="preserve">Active personal affinities feed a dedicated resource, Resonance Energy (distinct from vanilla XP), which governs max energy, regen rate, ability costs, and training bonuses. Type pairs fall into three relationship categories:</w:t>
      </w:r>
    </w:p>
    <w:p>
      <w:pPr>
        <w:pStyle w:val="ListParagraph"/>
        <w:numPr>
          <w:ilvl w:val="0"/>
          <w:numId w:val="1"/>
        </w:numPr>
        <w:spacing w:after="60"/>
      </w:pPr>
      <w:r>
        <w:t xml:space="preserve">Harmonized (e.g. Water+Ice, Fire+Steel, Grass+Water, Psychic+Fairy, Ghost+Dark, Ground+Rock): active together, they add a synergy bonus (illustrative +15% Resonance Energy, +10% related ability efficiency) rather than just summing.</w:t>
      </w:r>
    </w:p>
    <w:p>
      <w:pPr>
        <w:pStyle w:val="ListParagraph"/>
        <w:numPr>
          <w:ilvl w:val="0"/>
          <w:numId w:val="1"/>
        </w:numPr>
        <w:spacing w:after="60"/>
      </w:pPr>
      <w:r>
        <w:t xml:space="preserve">Neutral: no special interaction.</w:t>
      </w:r>
    </w:p>
    <w:p>
      <w:pPr>
        <w:pStyle w:val="ListParagraph"/>
        <w:numPr>
          <w:ilvl w:val="0"/>
          <w:numId w:val="1"/>
        </w:numPr>
        <w:spacing w:after="60"/>
      </w:pPr>
      <w:r>
        <w:t xml:space="preserve">Conflicting (e.g. Electric+Ground): active together, they impose a penalty (illustrative -15% Energy regen, +10% ability cost) without being blocked outright — the player can still choose both, they just pay for it.</w:t>
      </w:r>
    </w:p>
    <w:p>
      <w:pPr>
        <w:spacing w:after="120"/>
      </w:pPr>
      <w:r>
        <w:t xml:space="preserve">A late-game Affinity Imprinting mechanic lets a player preserve a small passive effect from a formerly-active affinity without it counting against their normal capacity, rewarding long-term investment without forcing every player into max-strength generalists.</w:t>
      </w:r>
    </w:p>
    <w:p>
      <w:pPr>
        <w:spacing w:after="120"/>
      </w:pPr>
      <w:r>
        <w:t xml:space="preserve">Status: 🟢 Strong reconstruction for the overall shape (capacity, dormant/active, harmonized/conflicting, Resonance Energy). Exact numeric bonuses/penalties throughout this section are illustrative examples from the original brainstorm, not locked balance values.</w:t>
      </w:r>
    </w:p>
    <w:p>
      <w:pPr>
        <w:pStyle w:val="Heading2"/>
        <w:spacing w:after="150" w:before="300"/>
      </w:pPr>
      <w:r>
        <w:t xml:space="preserve">4. Resonance (general concept)</w:t>
      </w:r>
    </w:p>
    <w:p>
      <w:pPr>
        <w:spacing w:after="120"/>
      </w:pPr>
      <w:r>
        <w:t xml:space="preserve">Resonance is the central connective concept linking Pokémon, the world, types, the player, ecology, technology, resources, and restoration — explicitly not meant to function as merely another mana bar. It is the mechanism referenced throughout the Affinity systems above (Resonance Energy, Resonance Shrine, Resonance Compass/Scanner) as well as in Fusion (“Resonance Synthesis”, referenced in Section 5) and the eventual Resonance Hearts / Legendary recognition system covered in Part 2. Status: 🟢 Strong reconstruction (per the ChatGPT memory export, cross-checked against the transcripts); full mechanical definition (Resonance Signature, Resonance Aura, Resonance Synthesis specifics) is reserved for Part 2 given how deeply it's entangled with Fusion/Shadow/breeding, which hasn't been fully extracted yet.</w:t>
      </w:r>
    </w:p>
    <w:p>
      <w:pPr>
        <w:pStyle w:val="Heading2"/>
        <w:spacing w:after="150" w:before="300"/>
      </w:pPr>
      <w:r>
        <w:t xml:space="preserve">5. Virtual EV/IV Training System</w:t>
      </w:r>
    </w:p>
    <w:p>
      <w:pPr>
        <w:spacing w:after="120"/>
      </w:pPr>
      <w:r>
        <w:t xml:space="preserve">Rather than vanilla EV-grinding, the player uses a machine (working name: Battle Resonator, built with Create + magic) to run virtual training programs on a Pokémon.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Training program</w:t>
            </w:r>
          </w:p>
        </w:tc>
        <w:tc>
          <w:tcPr>
            <w:tcW w:type="dxa" w:w="6800"/>
            <w:shd w:fill="D9D9D9" w:val="clear"/>
          </w:tcPr>
          <w:p>
            <w:r>
              <w:rPr>
                <w:b/>
                <w:bCs/>
              </w:rPr>
              <w:t xml:space="preserve">EV gained</w:t>
            </w:r>
          </w:p>
        </w:tc>
      </w:tr>
      <w:tr>
        <w:tc>
          <w:tcPr>
            <w:tcW w:type="dxa" w:w="2200"/>
          </w:tcPr>
          <w:p>
            <w:r>
              <w:t xml:space="preserve">Strength</w:t>
            </w:r>
          </w:p>
        </w:tc>
        <w:tc>
          <w:tcPr>
            <w:tcW w:type="dxa" w:w="6800"/>
          </w:tcPr>
          <w:p>
            <w:r>
              <w:t xml:space="preserve">Attack</w:t>
            </w:r>
          </w:p>
        </w:tc>
      </w:tr>
      <w:tr>
        <w:tc>
          <w:tcPr>
            <w:tcW w:type="dxa" w:w="2200"/>
          </w:tcPr>
          <w:p>
            <w:r>
              <w:t xml:space="preserve">Fortification</w:t>
            </w:r>
          </w:p>
        </w:tc>
        <w:tc>
          <w:tcPr>
            <w:tcW w:type="dxa" w:w="6800"/>
          </w:tcPr>
          <w:p>
            <w:r>
              <w:t xml:space="preserve">Defense</w:t>
            </w:r>
          </w:p>
        </w:tc>
      </w:tr>
      <w:tr>
        <w:tc>
          <w:tcPr>
            <w:tcW w:type="dxa" w:w="2200"/>
          </w:tcPr>
          <w:p>
            <w:r>
              <w:t xml:space="preserve">Vitality</w:t>
            </w:r>
          </w:p>
        </w:tc>
        <w:tc>
          <w:tcPr>
            <w:tcW w:type="dxa" w:w="6800"/>
          </w:tcPr>
          <w:p>
            <w:r>
              <w:t xml:space="preserve">HP</w:t>
            </w:r>
          </w:p>
        </w:tc>
      </w:tr>
      <w:tr>
        <w:tc>
          <w:tcPr>
            <w:tcW w:type="dxa" w:w="2200"/>
          </w:tcPr>
          <w:p>
            <w:r>
              <w:t xml:space="preserve">Meditation</w:t>
            </w:r>
          </w:p>
        </w:tc>
        <w:tc>
          <w:tcPr>
            <w:tcW w:type="dxa" w:w="6800"/>
          </w:tcPr>
          <w:p>
            <w:r>
              <w:t xml:space="preserve">Sp. Atk</w:t>
            </w:r>
          </w:p>
        </w:tc>
      </w:tr>
      <w:tr>
        <w:tc>
          <w:tcPr>
            <w:tcW w:type="dxa" w:w="2200"/>
          </w:tcPr>
          <w:p>
            <w:r>
              <w:t xml:space="preserve">Focus</w:t>
            </w:r>
          </w:p>
        </w:tc>
        <w:tc>
          <w:tcPr>
            <w:tcW w:type="dxa" w:w="6800"/>
          </w:tcPr>
          <w:p>
            <w:r>
              <w:t xml:space="preserve">Sp. Def</w:t>
            </w:r>
          </w:p>
        </w:tc>
      </w:tr>
      <w:tr>
        <w:tc>
          <w:tcPr>
            <w:tcW w:type="dxa" w:w="2200"/>
          </w:tcPr>
          <w:p>
            <w:r>
              <w:t xml:space="preserve">Agility</w:t>
            </w:r>
          </w:p>
        </w:tc>
        <w:tc>
          <w:tcPr>
            <w:tcW w:type="dxa" w:w="6800"/>
          </w:tcPr>
          <w:p>
            <w:r>
              <w:t xml:space="preserve">Speed</w:t>
            </w:r>
          </w:p>
        </w:tc>
      </w:tr>
    </w:tbl>
    <w:p>
      <w:pPr>
        <w:spacing w:after="120"/>
      </w:pPr>
      <w:r>
        <w:t xml:space="preserve">EVs are deliberately easy: virtual, automatable, resettable with special items. IVs are deliberately hard: expensive, requiring rare materials and late-game magic/tech, possibly capped at certain stages, with a perfect IV treated as a genuine endgame accomplishment (e.g. a “Genetic Resonator” reforging one IV by +1 at high cost). Training facilities were proposed to interact with World/Personal Affinity — e.g. higher Fire affinity makes Fire-focused training cheaper — tying competitive Pokémon-building back into the restoration loop instead of decoupling it. Status: 🟢 Strong reconstruction; fully configurable numbers (exact EV gain, IV cost, training time, resource requirements) were explicitly left open for later tuning.</w:t>
      </w:r>
    </w:p>
    <w:p>
      <w:pPr>
        <w:pStyle w:val="Heading2"/>
        <w:spacing w:after="150" w:before="300"/>
      </w:pPr>
      <w:r>
        <w:t xml:space="preserve">6. Custom Species / Fusion Technical Architecture</w:t>
      </w:r>
    </w:p>
    <w:p>
      <w:pPr>
        <w:spacing w:after="120"/>
      </w:pPr>
      <w:r>
        <w:t xml:space="preserve">Confirmed technically feasible and mapped out in detail: Poke Fusion (the fusion mod) only needs to know a result's Cobblemon species ID — it does not need to understand or generate the model itself. The pipeline is: Poke Fusion recipe (two input speciesIds → one result speciesId) → Cobblemon looks up that species → the species' resolver points to its model/texture/poser/animations → Cobblemon renders it like any other Pokémon.</w:t>
      </w:r>
    </w:p>
    <w:p>
      <w:pPr>
        <w:spacing w:after="120"/>
      </w:pPr>
      <w:r>
        <w:t xml:space="preserve">A custom Fakemon therefore needs: a species JSON (gameplay data — stats, types, abilities, catch rate, egg groups, etc.), a Blockbench model (.geo.json), texture(s) including a shiny variant, a resolver (the file that actually links species → model/texture/poser), a poser (idle/walk/battle/cry/faint animation bindings), and a lang file entry (name + Pokédex description). All of it should live under a dedicated namespace (e.g. ecoresonance:) rather than colliding with Cobblemon's own species IDs.</w:t>
      </w:r>
    </w:p>
    <w:p>
      <w:pPr>
        <w:spacing w:after="120"/>
      </w:pPr>
      <w:r>
        <w:t xml:space="preserve">Proposed fusion categories to structure the eventual system: Genetic Fusion (two existing Pokémon), Affinity Fusion (elemental resonance-driven), Shadow Fusion, Restoration Fusion (ancient Pokémon restored via resonance), Fakemon Fusion, Triple Fusion, Corrupted Fusion (failed resonance — a dangerous result), and Perfect Resonance (extremely rare, legendary-tier). A single fused species can also carry its own aspects/visual variants (normal/shadow/stellar/perfected/unstable/awakened) via Cobblemon's existing resolver/aspect system, meaning the fusion result itself can have its own further progression rather than being a dead end. Status: 🕒 Locked for the technical pipeline (this is implementation-verified against actual Cobblemon/Poke Fusion documentation, not just a design idea); 🟡 Candidate for the specific fusion-category list, which reads as an illustrative menu rather than a finalized taxonomy.</w:t>
      </w:r>
    </w:p>
    <w:p>
      <w:pPr>
        <w:pStyle w:val="Heading2"/>
        <w:spacing w:after="150" w:before="300"/>
      </w:pPr>
      <w:r>
        <w:t xml:space="preserve">Open threads for Part 2</w:t>
      </w:r>
    </w:p>
    <w:p>
      <w:pPr>
        <w:pStyle w:val="ListParagraph"/>
        <w:numPr>
          <w:ilvl w:val="0"/>
          <w:numId w:val="1"/>
        </w:numPr>
        <w:spacing w:after="60"/>
      </w:pPr>
      <w:r>
        <w:t xml:space="preserve">Legendary Domains and how they relate to (or supersede) the early “Noble” concept above.</w:t>
      </w:r>
    </w:p>
    <w:p>
      <w:pPr>
        <w:pStyle w:val="ListParagraph"/>
        <w:numPr>
          <w:ilvl w:val="0"/>
          <w:numId w:val="1"/>
        </w:numPr>
        <w:spacing w:after="60"/>
      </w:pPr>
      <w:r>
        <w:t xml:space="preserve">Resonance Hearts, Virtues, and the Legendary/Mythical recognition system (per the memory export, narrowed to ~8–10 Hearts corresponding to Virtues).</w:t>
      </w:r>
    </w:p>
    <w:p>
      <w:pPr>
        <w:pStyle w:val="ListParagraph"/>
        <w:numPr>
          <w:ilvl w:val="0"/>
          <w:numId w:val="1"/>
        </w:numPr>
        <w:spacing w:after="60"/>
      </w:pPr>
      <w:r>
        <w:t xml:space="preserve">The life/retirement system (8 lives, retirement protocol, championship protocol).</w:t>
      </w:r>
    </w:p>
    <w:p>
      <w:pPr>
        <w:pStyle w:val="ListParagraph"/>
        <w:numPr>
          <w:ilvl w:val="0"/>
          <w:numId w:val="1"/>
        </w:numPr>
        <w:spacing w:after="60"/>
      </w:pPr>
      <w:r>
        <w:t xml:space="preserve">Shadow forms, Eeveelutions, Fusion/Fracture failure states, and Corruption.</w:t>
      </w:r>
    </w:p>
    <w:p>
      <w:pPr>
        <w:pStyle w:val="ListParagraph"/>
        <w:numPr>
          <w:ilvl w:val="0"/>
          <w:numId w:val="1"/>
        </w:numPr>
        <w:spacing w:after="60"/>
      </w:pPr>
      <w:r>
        <w:t xml:space="preserve">Breeding, materials (Type Gems/Plates/Drives, Terra Shards, Z-Crystals, Resonance Fossils).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2026-09-13T18:09:03.454Z</dcterms:created>
  <dcterms:modified xsi:type="dcterms:W3CDTF">2026-09-13T18:09:03.454Z</dcterms:modified>
</cp:coreProperties>
</file>

<file path=docProps/custom.xml><?xml version="1.0" encoding="utf-8"?>
<Properties xmlns="http://schemas.openxmlformats.org/officeDocument/2006/custom-properties" xmlns:vt="http://schemas.openxmlformats.org/officeDocument/2006/docPropsVTypes"/>
</file>