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0183" w:rsidRPr="007D0183" w:rsidRDefault="007D0183" w:rsidP="007D0183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:rsidR="007D0183" w:rsidRPr="007D0183" w:rsidRDefault="007D0183" w:rsidP="007D0183">
      <w:pPr>
        <w:spacing w:after="0" w:line="240" w:lineRule="auto"/>
        <w:ind w:left="567" w:right="663"/>
        <w:jc w:val="both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7D0183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TPE a initié la démarche environnementale ISO 14 001 avec pour objectif de gérer l'impact de ses activités sur l'</w:t>
      </w:r>
      <w:hyperlink r:id="rId5" w:history="1">
        <w:r w:rsidRPr="007D0183"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t>environnement</w:t>
        </w:r>
      </w:hyperlink>
      <w:r w:rsidRPr="007D0183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. Le traitement des déchets fait partie intégrante de cette démarche et s’applique à toutes activités de notre entreprise.</w:t>
      </w:r>
    </w:p>
    <w:p w:rsidR="007D0183" w:rsidRPr="007D0183" w:rsidRDefault="007D0183" w:rsidP="007D0183">
      <w:pPr>
        <w:spacing w:after="0" w:line="240" w:lineRule="auto"/>
        <w:ind w:left="567" w:right="663"/>
        <w:jc w:val="both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:rsidR="007D0183" w:rsidRPr="007D0183" w:rsidRDefault="007D0183" w:rsidP="007D0183">
      <w:pPr>
        <w:spacing w:after="0" w:line="240" w:lineRule="auto"/>
        <w:ind w:left="567" w:right="663"/>
        <w:jc w:val="both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7D0183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Par expérience, nous savons que ce type de marché est générateur de beaucoup de déchets. Les principaux déchets sont :</w:t>
      </w:r>
    </w:p>
    <w:p w:rsidR="007D0183" w:rsidRPr="007D0183" w:rsidRDefault="00F94B26" w:rsidP="007D0183">
      <w:pPr>
        <w:spacing w:after="0" w:line="240" w:lineRule="auto"/>
        <w:ind w:left="567" w:right="663"/>
        <w:jc w:val="both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F94B26">
        <w:rPr>
          <w:rFonts w:ascii="Times New Roman" w:eastAsia="Calibri" w:hAnsi="Times New Roman" w:cs="Times New Roman"/>
          <w:noProof/>
          <w:kern w:val="0"/>
          <w:sz w:val="24"/>
          <w:szCs w:val="24"/>
          <w:lang w:eastAsia="fr-FR"/>
          <w14:ligatures w14:val="none"/>
        </w:rPr>
        <w:drawing>
          <wp:inline distT="0" distB="0" distL="0" distR="0" wp14:anchorId="7F7A5024" wp14:editId="3BC9BE7F">
            <wp:extent cx="5619508" cy="1796359"/>
            <wp:effectExtent l="0" t="0" r="63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1415" cy="180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183" w:rsidRPr="007D0183" w:rsidRDefault="007D0183" w:rsidP="007D0183">
      <w:pPr>
        <w:spacing w:after="0" w:line="240" w:lineRule="auto"/>
        <w:ind w:left="567" w:right="663"/>
        <w:jc w:val="both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7D0183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Afin de gérer et suivre le traitement des déchets majoritaires de notre activité, nous avons signé des conventions avec des acteurs du traitement des déchets :</w:t>
      </w:r>
    </w:p>
    <w:p w:rsidR="004F77E7" w:rsidRDefault="004F77E7" w:rsidP="007D0183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4957"/>
        <w:gridCol w:w="4105"/>
      </w:tblGrid>
      <w:tr w:rsidR="004F77E7" w:rsidTr="00FB0754">
        <w:trPr>
          <w:trHeight w:val="587"/>
        </w:trPr>
        <w:tc>
          <w:tcPr>
            <w:tcW w:w="4957" w:type="dxa"/>
          </w:tcPr>
          <w:p w:rsidR="004F77E7" w:rsidRDefault="004F77E7" w:rsidP="00FB0754">
            <w:pPr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F77E7"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14:ligatures w14:val="none"/>
              </w:rPr>
              <w:t>Evacuation Enrobé et béton, Recyclage des supports béton</w:t>
            </w:r>
          </w:p>
        </w:tc>
        <w:tc>
          <w:tcPr>
            <w:tcW w:w="4105" w:type="dxa"/>
          </w:tcPr>
          <w:p w:rsidR="004F77E7" w:rsidRPr="007D0183" w:rsidRDefault="004F77E7" w:rsidP="004F77E7">
            <w:pPr>
              <w:jc w:val="center"/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14:ligatures w14:val="none"/>
              </w:rPr>
            </w:pPr>
            <w:r w:rsidRPr="007D0183"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14:ligatures w14:val="none"/>
              </w:rPr>
              <w:t>Déchets verts</w:t>
            </w:r>
          </w:p>
          <w:p w:rsidR="004F77E7" w:rsidRDefault="004F77E7" w:rsidP="004F77E7">
            <w:pPr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F77E7" w:rsidTr="004F77E7">
        <w:trPr>
          <w:trHeight w:val="2017"/>
        </w:trPr>
        <w:tc>
          <w:tcPr>
            <w:tcW w:w="4957" w:type="dxa"/>
          </w:tcPr>
          <w:p w:rsidR="004F77E7" w:rsidRPr="004F77E7" w:rsidRDefault="004F77E7" w:rsidP="004F77E7">
            <w:pPr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:rsidR="004F77E7" w:rsidRPr="004F77E7" w:rsidRDefault="004F77E7" w:rsidP="004F77E7">
            <w:pPr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F77E7">
              <w:rPr>
                <w:rFonts w:ascii="Times New Roman" w:eastAsia="Calibri" w:hAnsi="Times New Roman" w:cs="Times New Roman"/>
                <w:noProof/>
                <w:kern w:val="0"/>
                <w:sz w:val="24"/>
                <w:szCs w:val="24"/>
                <w:lang w:eastAsia="fr-FR"/>
                <w14:ligatures w14:val="none"/>
              </w:rPr>
              <w:drawing>
                <wp:inline distT="0" distB="0" distL="0" distR="0" wp14:anchorId="5F8A12EA" wp14:editId="4F0489AD">
                  <wp:extent cx="3081600" cy="1080000"/>
                  <wp:effectExtent l="0" t="0" r="5080" b="6350"/>
                  <wp:docPr id="5" name="Imag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1600" cy="10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5" w:type="dxa"/>
          </w:tcPr>
          <w:p w:rsidR="004F77E7" w:rsidRDefault="004F77E7" w:rsidP="004F77E7">
            <w:pPr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:rsidR="004F77E7" w:rsidRDefault="004F77E7" w:rsidP="004F77E7">
            <w:pPr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F77E7">
              <w:rPr>
                <w:rFonts w:ascii="Times New Roman" w:eastAsia="Calibri" w:hAnsi="Times New Roman" w:cs="Times New Roman"/>
                <w:noProof/>
                <w:kern w:val="0"/>
                <w:sz w:val="24"/>
                <w:szCs w:val="24"/>
                <w:lang w:eastAsia="fr-FR"/>
                <w14:ligatures w14:val="none"/>
              </w:rPr>
              <w:drawing>
                <wp:inline distT="0" distB="0" distL="0" distR="0" wp14:anchorId="23D112E7" wp14:editId="36AC2BC3">
                  <wp:extent cx="2034000" cy="1080000"/>
                  <wp:effectExtent l="0" t="0" r="4445" b="635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4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F77E7" w:rsidRDefault="004F77E7" w:rsidP="004F77E7">
            <w:pPr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F2D82" w:rsidTr="005B6A4E">
        <w:trPr>
          <w:trHeight w:val="587"/>
        </w:trPr>
        <w:tc>
          <w:tcPr>
            <w:tcW w:w="4957" w:type="dxa"/>
          </w:tcPr>
          <w:p w:rsidR="008F2D82" w:rsidRDefault="008F2D82" w:rsidP="005B6A4E">
            <w:pPr>
              <w:jc w:val="center"/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14:ligatures w14:val="none"/>
              </w:rPr>
              <w:t>Chutes de câbles, ferrailles</w:t>
            </w:r>
          </w:p>
          <w:p w:rsidR="008F2D82" w:rsidRPr="008F2D82" w:rsidRDefault="008F2D82" w:rsidP="008F2D82">
            <w:pPr>
              <w:jc w:val="center"/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14:ligatures w14:val="none"/>
              </w:rPr>
              <w:t>Déchets d’équipements électriques &amp; électroniques</w:t>
            </w:r>
          </w:p>
        </w:tc>
        <w:tc>
          <w:tcPr>
            <w:tcW w:w="4105" w:type="dxa"/>
          </w:tcPr>
          <w:p w:rsidR="008F2D82" w:rsidRDefault="008F2D82" w:rsidP="005B6A4E">
            <w:pPr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D0183"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14:ligatures w14:val="none"/>
              </w:rPr>
              <w:t>Bennes de tri (à l’entreprise) carton, métaux et bois</w:t>
            </w:r>
            <w:r>
              <w:rPr>
                <w:rFonts w:ascii="Times New Roman" w:eastAsia="Calibri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</w:p>
        </w:tc>
      </w:tr>
      <w:tr w:rsidR="004F77E7" w:rsidTr="004F77E7">
        <w:tc>
          <w:tcPr>
            <w:tcW w:w="4957" w:type="dxa"/>
          </w:tcPr>
          <w:p w:rsidR="004F77E7" w:rsidRPr="004F77E7" w:rsidRDefault="008F2D82" w:rsidP="004F77E7">
            <w:pPr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F2D82">
              <w:rPr>
                <w:noProof/>
                <w:lang w:eastAsia="fr-FR"/>
              </w:rPr>
              <w:drawing>
                <wp:inline distT="0" distB="0" distL="0" distR="0" wp14:anchorId="22705933" wp14:editId="7CD32FF4">
                  <wp:extent cx="3010535" cy="1041400"/>
                  <wp:effectExtent l="0" t="0" r="0" b="6350"/>
                  <wp:docPr id="1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0535" cy="1041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5" w:type="dxa"/>
          </w:tcPr>
          <w:p w:rsidR="004F77E7" w:rsidRDefault="00064008" w:rsidP="004F77E7">
            <w:pPr>
              <w:jc w:val="center"/>
              <w:rPr>
                <w:rFonts w:ascii="Times New Roman" w:eastAsia="Calibri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64008">
              <w:rPr>
                <w:noProof/>
                <w:lang w:eastAsia="fr-FR"/>
              </w:rPr>
              <w:drawing>
                <wp:inline distT="0" distB="0" distL="0" distR="0" wp14:anchorId="4239D803" wp14:editId="15365BB3">
                  <wp:extent cx="2469515" cy="1097280"/>
                  <wp:effectExtent l="0" t="0" r="6985" b="7620"/>
                  <wp:docPr id="15" name="Imag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9515" cy="1097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5299A" w:rsidTr="004F77E7">
        <w:tc>
          <w:tcPr>
            <w:tcW w:w="4957" w:type="dxa"/>
          </w:tcPr>
          <w:p w:rsidR="00A5299A" w:rsidRDefault="00CA5E05" w:rsidP="004F77E7">
            <w:pPr>
              <w:jc w:val="center"/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14:ligatures w14:val="none"/>
              </w:rPr>
              <w:t>Ampoules / Eclairage</w:t>
            </w:r>
          </w:p>
          <w:p w:rsidR="00CA5E05" w:rsidRPr="008F2D82" w:rsidRDefault="00CA5E05" w:rsidP="004F77E7">
            <w:pPr>
              <w:jc w:val="center"/>
              <w:rPr>
                <w:noProof/>
                <w:lang w:eastAsia="fr-FR"/>
              </w:rPr>
            </w:pPr>
          </w:p>
        </w:tc>
        <w:tc>
          <w:tcPr>
            <w:tcW w:w="4105" w:type="dxa"/>
          </w:tcPr>
          <w:p w:rsidR="00A5299A" w:rsidRDefault="00CA5E05" w:rsidP="00CA5E05">
            <w:pPr>
              <w:jc w:val="center"/>
              <w:rPr>
                <w:noProof/>
                <w:lang w:eastAsia="fr-FR"/>
              </w:rPr>
            </w:pPr>
            <w:r>
              <w:rPr>
                <w:rFonts w:ascii="Times New Roman" w:eastAsia="Calibri" w:hAnsi="Times New Roman" w:cs="Times New Roman"/>
                <w:b/>
                <w:kern w:val="0"/>
                <w:sz w:val="24"/>
                <w:szCs w:val="24"/>
                <w14:ligatures w14:val="none"/>
              </w:rPr>
              <w:t>Papier</w:t>
            </w:r>
          </w:p>
        </w:tc>
        <w:bookmarkStart w:id="0" w:name="_GoBack"/>
        <w:bookmarkEnd w:id="0"/>
      </w:tr>
      <w:tr w:rsidR="00A5299A" w:rsidTr="004F77E7">
        <w:tc>
          <w:tcPr>
            <w:tcW w:w="4957" w:type="dxa"/>
          </w:tcPr>
          <w:p w:rsidR="00A5299A" w:rsidRPr="008F2D82" w:rsidRDefault="00CA5E05" w:rsidP="004F77E7">
            <w:pPr>
              <w:jc w:val="center"/>
              <w:rPr>
                <w:noProof/>
                <w:lang w:eastAsia="fr-FR"/>
              </w:rPr>
            </w:pPr>
            <w:r w:rsidRPr="00CA5E05">
              <w:rPr>
                <w:noProof/>
                <w:lang w:eastAsia="fr-FR"/>
              </w:rPr>
              <w:drawing>
                <wp:inline distT="0" distB="0" distL="0" distR="0" wp14:anchorId="78A2CFBA" wp14:editId="570E94C2">
                  <wp:extent cx="3010535" cy="1327150"/>
                  <wp:effectExtent l="0" t="0" r="0" b="0"/>
                  <wp:docPr id="13" name="Imag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0535" cy="1327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5" w:type="dxa"/>
          </w:tcPr>
          <w:p w:rsidR="00670430" w:rsidRDefault="00670430" w:rsidP="004F77E7">
            <w:pPr>
              <w:jc w:val="center"/>
              <w:rPr>
                <w:noProof/>
                <w:lang w:eastAsia="fr-FR"/>
              </w:rPr>
            </w:pPr>
          </w:p>
          <w:p w:rsidR="00A5299A" w:rsidRDefault="00670430" w:rsidP="004F77E7">
            <w:pPr>
              <w:jc w:val="center"/>
              <w:rPr>
                <w:noProof/>
                <w:lang w:eastAsia="fr-FR"/>
              </w:rPr>
            </w:pPr>
            <w:r w:rsidRPr="00670430">
              <w:rPr>
                <w:noProof/>
                <w:lang w:eastAsia="fr-FR"/>
              </w:rPr>
              <w:drawing>
                <wp:inline distT="0" distB="0" distL="0" distR="0" wp14:anchorId="1A73D610" wp14:editId="737CE073">
                  <wp:extent cx="2469515" cy="1024890"/>
                  <wp:effectExtent l="0" t="0" r="6985" b="3810"/>
                  <wp:docPr id="16" name="Imag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9515" cy="1024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D0183" w:rsidRPr="007D0183" w:rsidRDefault="007D0183" w:rsidP="00064008">
      <w:pPr>
        <w:spacing w:after="0" w:line="240" w:lineRule="auto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sectPr w:rsidR="007D0183" w:rsidRPr="007D018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79063F"/>
    <w:multiLevelType w:val="hybridMultilevel"/>
    <w:tmpl w:val="BAEC8C9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3E81"/>
    <w:rsid w:val="00064008"/>
    <w:rsid w:val="000B64B0"/>
    <w:rsid w:val="001E23FE"/>
    <w:rsid w:val="002F1855"/>
    <w:rsid w:val="00463E81"/>
    <w:rsid w:val="004F77E7"/>
    <w:rsid w:val="005871BA"/>
    <w:rsid w:val="005C58D6"/>
    <w:rsid w:val="00670430"/>
    <w:rsid w:val="00795390"/>
    <w:rsid w:val="007B1535"/>
    <w:rsid w:val="007D0183"/>
    <w:rsid w:val="008F2D82"/>
    <w:rsid w:val="009D5609"/>
    <w:rsid w:val="00A5299A"/>
    <w:rsid w:val="00BB6D30"/>
    <w:rsid w:val="00CA5E05"/>
    <w:rsid w:val="00F94B26"/>
    <w:rsid w:val="00FB0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DD3BF6"/>
  <w15:chartTrackingRefBased/>
  <w15:docId w15:val="{16FEBE7F-B001-49CF-A559-3D8FC4887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uiPriority w:val="99"/>
    <w:semiHidden/>
    <w:unhideWhenUsed/>
    <w:rsid w:val="007D0183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7D0183"/>
  </w:style>
  <w:style w:type="table" w:styleId="Grilledutableau">
    <w:name w:val="Table Grid"/>
    <w:basedOn w:val="TableauNormal"/>
    <w:uiPriority w:val="39"/>
    <w:rsid w:val="004F7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fr.wikipedia.org/wiki/Environnemen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</Words>
  <Characters>721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LYCEE ACAJOU 2</dc:creator>
  <cp:keywords/>
  <dc:description/>
  <cp:lastModifiedBy>LYCEE ACAJOU 2</cp:lastModifiedBy>
  <cp:revision>2</cp:revision>
  <dcterms:created xsi:type="dcterms:W3CDTF">2026-08-30T18:48:00Z</dcterms:created>
  <dcterms:modified xsi:type="dcterms:W3CDTF">2026-08-30T18:48:00Z</dcterms:modified>
</cp:coreProperties>
</file>