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34CA" w:rsidRPr="00CC34CA" w:rsidRDefault="00CC34CA" w:rsidP="00CC34CA">
      <w:pPr>
        <w:spacing w:after="0" w:line="240" w:lineRule="auto"/>
        <w:rPr>
          <w:rFonts w:ascii="Calibri" w:eastAsia="Calibri" w:hAnsi="Calibri" w:cs="Times New Roman"/>
          <w:kern w:val="0"/>
          <w14:ligatures w14:val="none"/>
        </w:rPr>
      </w:pPr>
    </w:p>
    <w:p w:rsidR="00CC34CA" w:rsidRPr="00CC34CA" w:rsidRDefault="00CC34CA" w:rsidP="00CC34CA">
      <w:pPr>
        <w:spacing w:after="200" w:line="240" w:lineRule="auto"/>
        <w:ind w:left="708"/>
        <w:rPr>
          <w:rFonts w:ascii="Calibri" w:eastAsia="Calibri" w:hAnsi="Calibri" w:cs="Times New Roman"/>
          <w:kern w:val="0"/>
          <w14:ligatures w14:val="none"/>
        </w:rPr>
      </w:pPr>
      <w:r w:rsidRPr="00CC34CA">
        <w:rPr>
          <w:rFonts w:ascii="Calibri" w:eastAsia="Calibri" w:hAnsi="Calibri" w:cs="Times New Roman"/>
          <w:kern w:val="0"/>
          <w14:ligatures w14:val="none"/>
        </w:rPr>
        <w:t>Le présent projet a pour but la réalisation du lot n°3 « Réseaux secs » dans le cadre de la construction du Village Artisanal, opération d'aménagement du front de mer de la Ville du MARIN.</w:t>
      </w:r>
    </w:p>
    <w:p w:rsidR="00CC34CA" w:rsidRPr="00CC34CA" w:rsidRDefault="00CC34CA" w:rsidP="00CC34CA">
      <w:pPr>
        <w:spacing w:after="120" w:line="240" w:lineRule="auto"/>
        <w:ind w:left="708"/>
        <w:rPr>
          <w:rFonts w:ascii="Calibri" w:eastAsia="Calibri" w:hAnsi="Calibri" w:cs="Times New Roman"/>
          <w:kern w:val="0"/>
          <w14:ligatures w14:val="none"/>
        </w:rPr>
      </w:pPr>
      <w:r w:rsidRPr="00CC34CA">
        <w:rPr>
          <w:rFonts w:ascii="Calibri" w:eastAsia="Calibri" w:hAnsi="Calibri" w:cs="Times New Roman"/>
          <w:kern w:val="0"/>
          <w14:ligatures w14:val="none"/>
        </w:rPr>
        <w:t>Les prestations suivantes auront à être réalisées :</w:t>
      </w:r>
    </w:p>
    <w:p w:rsidR="00CC34CA" w:rsidRPr="00CC34CA" w:rsidRDefault="00CC34CA" w:rsidP="00CC34CA">
      <w:pPr>
        <w:numPr>
          <w:ilvl w:val="0"/>
          <w:numId w:val="1"/>
        </w:numPr>
        <w:spacing w:after="120" w:line="240" w:lineRule="auto"/>
        <w:ind w:left="1428"/>
        <w:rPr>
          <w:rFonts w:ascii="Calibri" w:eastAsia="Calibri" w:hAnsi="Calibri" w:cs="Times New Roman"/>
          <w:kern w:val="0"/>
          <w14:ligatures w14:val="none"/>
        </w:rPr>
      </w:pPr>
      <w:r w:rsidRPr="00CC34CA">
        <w:rPr>
          <w:rFonts w:ascii="Calibri" w:eastAsia="Calibri" w:hAnsi="Calibri" w:cs="Times New Roman"/>
          <w:kern w:val="0"/>
          <w14:ligatures w14:val="none"/>
        </w:rPr>
        <w:t>Études et travaux sur les réseaux de distribution d'énergie électrique basse tension dédiés à l'éclairage public et aux équipements du site,</w:t>
      </w:r>
    </w:p>
    <w:p w:rsidR="00CC34CA" w:rsidRPr="00CC34CA" w:rsidRDefault="00CC34CA" w:rsidP="00CC34CA">
      <w:pPr>
        <w:numPr>
          <w:ilvl w:val="0"/>
          <w:numId w:val="1"/>
        </w:numPr>
        <w:spacing w:after="120" w:line="240" w:lineRule="auto"/>
        <w:ind w:left="1428"/>
        <w:rPr>
          <w:rFonts w:ascii="Calibri" w:eastAsia="Calibri" w:hAnsi="Calibri" w:cs="Times New Roman"/>
          <w:kern w:val="0"/>
          <w14:ligatures w14:val="none"/>
        </w:rPr>
      </w:pPr>
      <w:r w:rsidRPr="00CC34CA">
        <w:rPr>
          <w:rFonts w:ascii="Calibri" w:eastAsia="Calibri" w:hAnsi="Calibri" w:cs="Times New Roman"/>
          <w:kern w:val="0"/>
          <w14:ligatures w14:val="none"/>
        </w:rPr>
        <w:t>La fourniture et la pose de candélabres de type 1 (4 ml), type 2 (6,5 ml) et type 3 (6,5 ml avec feu piéton), avec luminaires LED, boîtiers classe 2 et massifs,</w:t>
      </w:r>
    </w:p>
    <w:p w:rsidR="00CC34CA" w:rsidRPr="00CC34CA" w:rsidRDefault="00CC34CA" w:rsidP="00CC34CA">
      <w:pPr>
        <w:numPr>
          <w:ilvl w:val="0"/>
          <w:numId w:val="1"/>
        </w:numPr>
        <w:spacing w:after="120" w:line="240" w:lineRule="auto"/>
        <w:ind w:left="1428"/>
        <w:rPr>
          <w:rFonts w:ascii="Calibri" w:eastAsia="Calibri" w:hAnsi="Calibri" w:cs="Times New Roman"/>
          <w:kern w:val="0"/>
          <w14:ligatures w14:val="none"/>
        </w:rPr>
      </w:pPr>
      <w:r w:rsidRPr="00CC34CA">
        <w:rPr>
          <w:rFonts w:ascii="Calibri" w:eastAsia="Calibri" w:hAnsi="Calibri" w:cs="Times New Roman"/>
          <w:kern w:val="0"/>
          <w14:ligatures w14:val="none"/>
        </w:rPr>
        <w:t>La fourniture et la pose de câbles U1000 RO2V (4x6 mm² éclairage public et 3G1,5 mm² intérieur),</w:t>
      </w:r>
    </w:p>
    <w:p w:rsidR="00CC34CA" w:rsidRPr="00CC34CA" w:rsidRDefault="00CC34CA" w:rsidP="00CC34CA">
      <w:pPr>
        <w:numPr>
          <w:ilvl w:val="0"/>
          <w:numId w:val="1"/>
        </w:numPr>
        <w:spacing w:after="120" w:line="240" w:lineRule="auto"/>
        <w:ind w:left="1428"/>
        <w:rPr>
          <w:rFonts w:ascii="Calibri" w:eastAsia="Calibri" w:hAnsi="Calibri" w:cs="Times New Roman"/>
          <w:kern w:val="0"/>
          <w14:ligatures w14:val="none"/>
        </w:rPr>
      </w:pPr>
      <w:r w:rsidRPr="00CC34CA">
        <w:rPr>
          <w:rFonts w:ascii="Calibri" w:eastAsia="Calibri" w:hAnsi="Calibri" w:cs="Times New Roman"/>
          <w:kern w:val="0"/>
          <w14:ligatures w14:val="none"/>
        </w:rPr>
        <w:t>La fourniture et la pose de projecteurs en applique, réglettes fluo LED et appliques murales,</w:t>
      </w:r>
    </w:p>
    <w:p w:rsidR="00CC34CA" w:rsidRPr="00CC34CA" w:rsidRDefault="00CC34CA" w:rsidP="00CC34CA">
      <w:pPr>
        <w:numPr>
          <w:ilvl w:val="0"/>
          <w:numId w:val="1"/>
        </w:numPr>
        <w:spacing w:after="120" w:line="240" w:lineRule="auto"/>
        <w:ind w:left="1428"/>
        <w:rPr>
          <w:rFonts w:ascii="Calibri" w:eastAsia="Calibri" w:hAnsi="Calibri" w:cs="Times New Roman"/>
          <w:kern w:val="0"/>
          <w14:ligatures w14:val="none"/>
        </w:rPr>
      </w:pPr>
      <w:r w:rsidRPr="00CC34CA">
        <w:rPr>
          <w:rFonts w:ascii="Calibri" w:eastAsia="Calibri" w:hAnsi="Calibri" w:cs="Times New Roman"/>
          <w:kern w:val="0"/>
          <w14:ligatures w14:val="none"/>
        </w:rPr>
        <w:t>La fourniture, la pose et le raccordement d'une armoire de commande d'éclairage type Taillefer avec horloge type TEGIS Lightning,</w:t>
      </w:r>
    </w:p>
    <w:p w:rsidR="00CC34CA" w:rsidRPr="00CC34CA" w:rsidRDefault="00CC34CA" w:rsidP="00CC34CA">
      <w:pPr>
        <w:numPr>
          <w:ilvl w:val="0"/>
          <w:numId w:val="1"/>
        </w:numPr>
        <w:spacing w:after="120" w:line="240" w:lineRule="auto"/>
        <w:ind w:left="1428"/>
        <w:rPr>
          <w:rFonts w:ascii="Calibri" w:eastAsia="Calibri" w:hAnsi="Calibri" w:cs="Times New Roman"/>
          <w:kern w:val="0"/>
          <w14:ligatures w14:val="none"/>
        </w:rPr>
      </w:pPr>
      <w:r w:rsidRPr="00CC34CA">
        <w:rPr>
          <w:rFonts w:ascii="Calibri" w:eastAsia="Calibri" w:hAnsi="Calibri" w:cs="Times New Roman"/>
          <w:kern w:val="0"/>
          <w14:ligatures w14:val="none"/>
        </w:rPr>
        <w:t>La fourniture et la pose des tableaux divisionnaires (TD) pour les kiosques de dégustation, du TGBT principal en local technique, du REMBT 12 plages et du distributeur d'arrivée,</w:t>
      </w:r>
    </w:p>
    <w:p w:rsidR="00CC34CA" w:rsidRPr="00CC34CA" w:rsidRDefault="00CC34CA" w:rsidP="00CC34CA">
      <w:pPr>
        <w:numPr>
          <w:ilvl w:val="0"/>
          <w:numId w:val="1"/>
        </w:numPr>
        <w:spacing w:after="120" w:line="240" w:lineRule="auto"/>
        <w:ind w:left="1428"/>
        <w:rPr>
          <w:rFonts w:ascii="Calibri" w:eastAsia="Calibri" w:hAnsi="Calibri" w:cs="Times New Roman"/>
          <w:kern w:val="0"/>
          <w14:ligatures w14:val="none"/>
        </w:rPr>
      </w:pPr>
      <w:r w:rsidRPr="00CC34CA">
        <w:rPr>
          <w:rFonts w:ascii="Calibri" w:eastAsia="Calibri" w:hAnsi="Calibri" w:cs="Times New Roman"/>
          <w:kern w:val="0"/>
          <w14:ligatures w14:val="none"/>
        </w:rPr>
        <w:t>La réalisation des canalisations et fourreaux pour les réseaux téléphone/fibre optique (fourreaux Ø45 mm aiguillés) et la pose des chambres normalisées (L1T à L4T),</w:t>
      </w:r>
    </w:p>
    <w:p w:rsidR="00CC34CA" w:rsidRPr="00CC34CA" w:rsidRDefault="00CC34CA" w:rsidP="00CC34CA">
      <w:pPr>
        <w:numPr>
          <w:ilvl w:val="0"/>
          <w:numId w:val="1"/>
        </w:numPr>
        <w:spacing w:after="120" w:line="240" w:lineRule="auto"/>
        <w:ind w:left="1428"/>
        <w:rPr>
          <w:rFonts w:ascii="Calibri" w:eastAsia="Calibri" w:hAnsi="Calibri" w:cs="Times New Roman"/>
          <w:kern w:val="0"/>
          <w14:ligatures w14:val="none"/>
        </w:rPr>
      </w:pPr>
      <w:r w:rsidRPr="00CC34CA">
        <w:rPr>
          <w:rFonts w:ascii="Calibri" w:eastAsia="Calibri" w:hAnsi="Calibri" w:cs="Times New Roman"/>
          <w:kern w:val="0"/>
          <w14:ligatures w14:val="none"/>
        </w:rPr>
        <w:t>La mise en service et les essais de fonctionnement de l'ensemble des installations,</w:t>
      </w:r>
    </w:p>
    <w:p w:rsidR="00CC34CA" w:rsidRPr="00CC34CA" w:rsidRDefault="00CC34CA" w:rsidP="00CC34CA">
      <w:pPr>
        <w:numPr>
          <w:ilvl w:val="0"/>
          <w:numId w:val="1"/>
        </w:numPr>
        <w:spacing w:after="120" w:line="240" w:lineRule="auto"/>
        <w:ind w:left="1428"/>
        <w:rPr>
          <w:rFonts w:ascii="Calibri" w:eastAsia="Calibri" w:hAnsi="Calibri" w:cs="Times New Roman"/>
          <w:kern w:val="0"/>
          <w14:ligatures w14:val="none"/>
        </w:rPr>
      </w:pPr>
      <w:r w:rsidRPr="00CC34CA">
        <w:rPr>
          <w:rFonts w:ascii="Calibri" w:eastAsia="Calibri" w:hAnsi="Calibri" w:cs="Times New Roman"/>
          <w:kern w:val="0"/>
          <w14:ligatures w14:val="none"/>
        </w:rPr>
        <w:t>La réception des ouvrages et la remise du DOE (Dossier des Ouvrages Exécutés).</w:t>
      </w:r>
    </w:p>
    <w:p w:rsidR="00CC34CA" w:rsidRPr="00CC34CA" w:rsidRDefault="00CC34CA" w:rsidP="00CC34CA">
      <w:pPr>
        <w:spacing w:after="200" w:line="240" w:lineRule="auto"/>
        <w:ind w:left="708"/>
        <w:rPr>
          <w:rFonts w:ascii="Calibri" w:eastAsia="Calibri" w:hAnsi="Calibri" w:cs="Times New Roman"/>
          <w:kern w:val="0"/>
          <w14:ligatures w14:val="none"/>
        </w:rPr>
      </w:pPr>
      <w:r w:rsidRPr="00CC34CA">
        <w:rPr>
          <w:rFonts w:ascii="Calibri" w:eastAsia="Calibri" w:hAnsi="Calibri" w:cs="Times New Roman"/>
          <w:kern w:val="0"/>
          <w14:ligatures w14:val="none"/>
        </w:rPr>
        <w:t>Cette opération est située sur le site du front de mer de la Ville du MARIN, dans le cadre de l'aménagement global comprenant le marché artisanal et les kiosques de dégustation. Les travaux seront réalisés en coordination avec les autres lots du marché (terrassement, voiries et réseaux humides, gros-œuvre), le début prévisionnel du chantier étant fixé à octobre 2026 pour une durée globale de 14 mois, période de préparation comprise.</w:t>
      </w:r>
    </w:p>
    <w:p w:rsidR="00CC34CA" w:rsidRPr="00CC34CA" w:rsidRDefault="00CC34CA" w:rsidP="00CC34CA">
      <w:pPr>
        <w:spacing w:after="200" w:line="276" w:lineRule="auto"/>
        <w:rPr>
          <w:rFonts w:ascii="Calibri" w:eastAsia="Calibri" w:hAnsi="Calibri" w:cs="Times New Roman"/>
          <w:kern w:val="0"/>
          <w:sz w:val="28"/>
          <w:szCs w:val="28"/>
          <w14:ligatures w14:val="none"/>
        </w:rPr>
      </w:pPr>
      <w:r w:rsidRPr="00CC34CA">
        <w:rPr>
          <w:rFonts w:ascii="Calibri" w:eastAsia="Calibri" w:hAnsi="Calibri" w:cs="Times New Roman"/>
          <w:kern w:val="0"/>
          <w:sz w:val="28"/>
          <w:szCs w:val="28"/>
          <w14:ligatures w14:val="none"/>
        </w:rPr>
        <w:br w:type="page"/>
      </w:r>
    </w:p>
    <w:p w:rsidR="00795390" w:rsidRPr="00CC34CA" w:rsidRDefault="00795390" w:rsidP="00CC34CA">
      <w:bookmarkStart w:id="0" w:name="_GoBack"/>
      <w:bookmarkEnd w:id="0"/>
    </w:p>
    <w:sectPr w:rsidR="00795390" w:rsidRPr="00CC34C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DD5268"/>
    <w:multiLevelType w:val="hybridMultilevel"/>
    <w:tmpl w:val="C616B86A"/>
    <w:lvl w:ilvl="0" w:tplc="35AA2BFC">
      <w:start w:val="1"/>
      <w:numFmt w:val="bullet"/>
      <w:lvlText w:val="●"/>
      <w:lvlJc w:val="left"/>
      <w:pPr>
        <w:ind w:left="720" w:hanging="360"/>
      </w:pPr>
    </w:lvl>
    <w:lvl w:ilvl="1" w:tplc="EBE42BEC">
      <w:start w:val="1"/>
      <w:numFmt w:val="bullet"/>
      <w:lvlText w:val="○"/>
      <w:lvlJc w:val="left"/>
      <w:pPr>
        <w:ind w:left="1440" w:hanging="360"/>
      </w:pPr>
    </w:lvl>
    <w:lvl w:ilvl="2" w:tplc="4C0820DC">
      <w:start w:val="1"/>
      <w:numFmt w:val="bullet"/>
      <w:lvlText w:val="■"/>
      <w:lvlJc w:val="left"/>
      <w:pPr>
        <w:ind w:left="2160" w:hanging="360"/>
      </w:pPr>
    </w:lvl>
    <w:lvl w:ilvl="3" w:tplc="132CEF4E">
      <w:start w:val="1"/>
      <w:numFmt w:val="bullet"/>
      <w:lvlText w:val="●"/>
      <w:lvlJc w:val="left"/>
      <w:pPr>
        <w:ind w:left="2880" w:hanging="360"/>
      </w:pPr>
    </w:lvl>
    <w:lvl w:ilvl="4" w:tplc="2DF0ACA4">
      <w:start w:val="1"/>
      <w:numFmt w:val="bullet"/>
      <w:lvlText w:val="○"/>
      <w:lvlJc w:val="left"/>
      <w:pPr>
        <w:ind w:left="3600" w:hanging="360"/>
      </w:pPr>
    </w:lvl>
    <w:lvl w:ilvl="5" w:tplc="B58A135C">
      <w:start w:val="1"/>
      <w:numFmt w:val="bullet"/>
      <w:lvlText w:val="■"/>
      <w:lvlJc w:val="left"/>
      <w:pPr>
        <w:ind w:left="4320" w:hanging="360"/>
      </w:pPr>
    </w:lvl>
    <w:lvl w:ilvl="6" w:tplc="F698D7B2">
      <w:start w:val="1"/>
      <w:numFmt w:val="bullet"/>
      <w:lvlText w:val="●"/>
      <w:lvlJc w:val="left"/>
      <w:pPr>
        <w:ind w:left="5040" w:hanging="360"/>
      </w:pPr>
    </w:lvl>
    <w:lvl w:ilvl="7" w:tplc="4FAA96AA">
      <w:start w:val="1"/>
      <w:numFmt w:val="bullet"/>
      <w:lvlText w:val="●"/>
      <w:lvlJc w:val="left"/>
      <w:pPr>
        <w:ind w:left="5760" w:hanging="360"/>
      </w:pPr>
    </w:lvl>
    <w:lvl w:ilvl="8" w:tplc="81622ECA">
      <w:start w:val="1"/>
      <w:numFmt w:val="bullet"/>
      <w:lvlText w:val="●"/>
      <w:lvlJc w:val="left"/>
      <w:pPr>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3E81"/>
    <w:rsid w:val="00463E81"/>
    <w:rsid w:val="005C58D6"/>
    <w:rsid w:val="00795390"/>
    <w:rsid w:val="00CC34C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6FEBE7F-B001-49CF-A559-3D8FC4887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278</Words>
  <Characters>1534</Characters>
  <Application>Microsoft Office Word</Application>
  <DocSecurity>0</DocSecurity>
  <Lines>12</Lines>
  <Paragraphs>3</Paragraphs>
  <ScaleCrop>false</ScaleCrop>
  <Company/>
  <LinksUpToDate>false</LinksUpToDate>
  <CharactersWithSpaces>1809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2026-08-29T15:55:00Z</dcterms:created>
  <dcterms:modified xsi:type="dcterms:W3CDTF">2026-08-30T02:24:00Z</dcterms:modified>
</cp:coreProperties>
</file>