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49B" w:rsidRPr="00AA349B" w:rsidRDefault="00AA349B" w:rsidP="00AA349B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AA349B" w:rsidRPr="00AA349B" w:rsidRDefault="00AA349B" w:rsidP="00AA349B">
      <w:pPr>
        <w:spacing w:after="0" w:line="240" w:lineRule="auto"/>
        <w:ind w:left="567" w:right="521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</w:pPr>
      <w:r w:rsidRPr="00AA349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Les fourreaux seront aiguillés et le câble sera tiré à l’aide d’un treuil. Les boucles de câble dépasseront de plus d’un mètre du sol fini de façon à garder une marge de manœuvre pour le câblage dans les armoires pied de mât. </w:t>
      </w:r>
    </w:p>
    <w:p w:rsidR="00AA349B" w:rsidRPr="00AA349B" w:rsidRDefault="00AA349B" w:rsidP="00AA349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AA349B" w:rsidRDefault="00795390" w:rsidP="00AA349B">
      <w:bookmarkStart w:id="0" w:name="_GoBack"/>
      <w:bookmarkEnd w:id="0"/>
    </w:p>
    <w:sectPr w:rsidR="00795390" w:rsidRPr="00AA3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AA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