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able-of-bioclims-used"/>
      <w:bookmarkEnd w:id="21"/>
      <w:r>
        <w:t xml:space="preserve">Table of bioclims used:</w:t>
      </w:r>
    </w:p>
    <w:tbl>
      <w:tblPr>
        <w:tblStyle w:val="TableNormal"/>
        <w:tblW w:type="pct" w:w="0.0"/>
      </w:tblPr>
      <w:tblGrid/>
      <w:tr>
        <w:tc>
          <w:tcPr>
            <w:tcBorders>
              <w:bottom w:val="single"/>
            </w:tcBorders>
            <w:vAlign w:val="bottom"/>
          </w:tcPr>
          <w:p>
            <w:pPr>
              <w:pStyle w:val="Compact"/>
              <w:jc w:val="left"/>
            </w:pPr>
            <w:r>
              <w:t xml:space="preserve">Site</w:t>
            </w:r>
          </w:p>
        </w:tc>
        <w:tc>
          <w:tcPr>
            <w:tcBorders>
              <w:bottom w:val="single"/>
            </w:tcBorders>
            <w:vAlign w:val="bottom"/>
          </w:tcPr>
          <w:p>
            <w:pPr>
              <w:pStyle w:val="Compact"/>
              <w:jc w:val="left"/>
            </w:pPr>
            <w:r>
              <w:t xml:space="preserve">bio12</w:t>
            </w:r>
          </w:p>
        </w:tc>
        <w:tc>
          <w:tcPr>
            <w:tcBorders>
              <w:bottom w:val="single"/>
            </w:tcBorders>
            <w:vAlign w:val="bottom"/>
          </w:tcPr>
          <w:p>
            <w:pPr>
              <w:pStyle w:val="Compact"/>
              <w:jc w:val="left"/>
            </w:pPr>
            <w:r>
              <w:t xml:space="preserve">bio13</w:t>
            </w:r>
          </w:p>
        </w:tc>
        <w:tc>
          <w:tcPr>
            <w:tcBorders>
              <w:bottom w:val="single"/>
            </w:tcBorders>
            <w:vAlign w:val="bottom"/>
          </w:tcPr>
          <w:p>
            <w:pPr>
              <w:pStyle w:val="Compact"/>
              <w:jc w:val="left"/>
            </w:pPr>
            <w:r>
              <w:t xml:space="preserve">bio14</w:t>
            </w:r>
          </w:p>
        </w:tc>
        <w:tc>
          <w:tcPr>
            <w:tcBorders>
              <w:bottom w:val="single"/>
            </w:tcBorders>
            <w:vAlign w:val="bottom"/>
          </w:tcPr>
          <w:p>
            <w:pPr>
              <w:pStyle w:val="Compact"/>
              <w:jc w:val="left"/>
            </w:pPr>
            <w:r>
              <w:t xml:space="preserve">bio15</w:t>
            </w:r>
          </w:p>
        </w:tc>
        <w:tc>
          <w:tcPr>
            <w:tcBorders>
              <w:bottom w:val="single"/>
            </w:tcBorders>
            <w:vAlign w:val="bottom"/>
          </w:tcPr>
          <w:p>
            <w:pPr>
              <w:pStyle w:val="Compact"/>
              <w:jc w:val="left"/>
            </w:pPr>
            <w:r>
              <w:t xml:space="preserve">bio18</w:t>
            </w:r>
          </w:p>
        </w:tc>
        <w:tc>
          <w:tcPr>
            <w:tcBorders>
              <w:bottom w:val="single"/>
            </w:tcBorders>
            <w:vAlign w:val="bottom"/>
          </w:tcPr>
          <w:p>
            <w:pPr>
              <w:pStyle w:val="Compact"/>
              <w:jc w:val="left"/>
            </w:pPr>
            <w:r>
              <w:t xml:space="preserve">bio19</w:t>
            </w:r>
          </w:p>
        </w:tc>
        <w:tc>
          <w:tcPr>
            <w:tcBorders>
              <w:bottom w:val="single"/>
            </w:tcBorders>
            <w:vAlign w:val="bottom"/>
          </w:tcPr>
          <w:p>
            <w:pPr>
              <w:pStyle w:val="Compact"/>
              <w:jc w:val="left"/>
            </w:pPr>
            <w:r>
              <w:t xml:space="preserve">bio2</w:t>
            </w:r>
          </w:p>
        </w:tc>
        <w:tc>
          <w:tcPr>
            <w:tcBorders>
              <w:bottom w:val="single"/>
            </w:tcBorders>
            <w:vAlign w:val="bottom"/>
          </w:tcPr>
          <w:p>
            <w:pPr>
              <w:pStyle w:val="Compact"/>
              <w:jc w:val="left"/>
            </w:pPr>
            <w:r>
              <w:t xml:space="preserve">bio3</w:t>
            </w:r>
          </w:p>
        </w:tc>
        <w:tc>
          <w:tcPr>
            <w:tcBorders>
              <w:bottom w:val="single"/>
            </w:tcBorders>
            <w:vAlign w:val="bottom"/>
          </w:tcPr>
          <w:p>
            <w:pPr>
              <w:pStyle w:val="Compact"/>
              <w:jc w:val="left"/>
            </w:pPr>
            <w:r>
              <w:t xml:space="preserve">bio6</w:t>
            </w:r>
          </w:p>
        </w:tc>
        <w:tc>
          <w:tcPr>
            <w:tcBorders>
              <w:bottom w:val="single"/>
            </w:tcBorders>
            <w:vAlign w:val="bottom"/>
          </w:tcPr>
          <w:p>
            <w:pPr>
              <w:pStyle w:val="Compact"/>
              <w:jc w:val="left"/>
            </w:pPr>
            <w:r>
              <w:t xml:space="preserve">bio7</w:t>
            </w:r>
          </w:p>
        </w:tc>
        <w:tc>
          <w:tcPr>
            <w:tcBorders>
              <w:bottom w:val="single"/>
            </w:tcBorders>
            <w:vAlign w:val="bottom"/>
          </w:tcPr>
          <w:p>
            <w:pPr>
              <w:pStyle w:val="Compact"/>
              <w:jc w:val="left"/>
            </w:pPr>
            <w:r>
              <w:t xml:space="preserve">bio4</w:t>
            </w:r>
          </w:p>
        </w:tc>
        <w:tc>
          <w:tcPr>
            <w:tcBorders>
              <w:bottom w:val="single"/>
            </w:tcBorders>
            <w:vAlign w:val="bottom"/>
          </w:tcPr>
          <w:p>
            <w:pPr>
              <w:pStyle w:val="Compact"/>
              <w:jc w:val="left"/>
            </w:pPr>
            <w:r>
              <w:t xml:space="preserve">bio5</w:t>
            </w:r>
          </w:p>
        </w:tc>
        <w:tc>
          <w:tcPr>
            <w:tcBorders>
              <w:bottom w:val="single"/>
            </w:tcBorders>
            <w:vAlign w:val="bottom"/>
          </w:tcPr>
          <w:p>
            <w:pPr>
              <w:pStyle w:val="Compact"/>
              <w:jc w:val="left"/>
            </w:pPr>
            <w:r>
              <w:t xml:space="preserve">bio8</w:t>
            </w:r>
          </w:p>
        </w:tc>
        <w:tc>
          <w:tcPr>
            <w:tcBorders>
              <w:bottom w:val="single"/>
            </w:tcBorders>
            <w:vAlign w:val="bottom"/>
          </w:tcPr>
          <w:p>
            <w:pPr>
              <w:pStyle w:val="Compact"/>
              <w:jc w:val="left"/>
            </w:pPr>
            <w:r>
              <w:t xml:space="preserve">bio9</w:t>
            </w:r>
          </w:p>
        </w:tc>
      </w:tr>
      <w:tr>
        <w:tc>
          <w:p>
            <w:pPr>
              <w:pStyle w:val="Compact"/>
              <w:jc w:val="left"/>
            </w:pPr>
            <w:r>
              <w:t xml:space="preserve">KG</w:t>
            </w:r>
          </w:p>
        </w:tc>
        <w:tc>
          <w:p>
            <w:pPr>
              <w:pStyle w:val="Compact"/>
              <w:jc w:val="left"/>
            </w:pPr>
            <w:r>
              <w:t xml:space="preserve">1918.0</w:t>
            </w:r>
          </w:p>
        </w:tc>
        <w:tc>
          <w:p>
            <w:pPr>
              <w:pStyle w:val="Compact"/>
              <w:jc w:val="left"/>
            </w:pPr>
            <w:r>
              <w:t xml:space="preserve">302.0</w:t>
            </w:r>
          </w:p>
        </w:tc>
        <w:tc>
          <w:p>
            <w:pPr>
              <w:pStyle w:val="Compact"/>
              <w:jc w:val="left"/>
            </w:pPr>
            <w:r>
              <w:t xml:space="preserve">79.0</w:t>
            </w:r>
          </w:p>
        </w:tc>
        <w:tc>
          <w:p>
            <w:pPr>
              <w:pStyle w:val="Compact"/>
              <w:jc w:val="left"/>
            </w:pPr>
            <w:r>
              <w:t xml:space="preserve">45.0</w:t>
            </w:r>
          </w:p>
        </w:tc>
        <w:tc>
          <w:p>
            <w:pPr>
              <w:pStyle w:val="Compact"/>
              <w:jc w:val="left"/>
            </w:pPr>
            <w:r>
              <w:t xml:space="preserve">436.0</w:t>
            </w:r>
          </w:p>
        </w:tc>
        <w:tc>
          <w:p>
            <w:pPr>
              <w:pStyle w:val="Compact"/>
              <w:jc w:val="left"/>
            </w:pPr>
            <w:r>
              <w:t xml:space="preserve">306.0</w:t>
            </w:r>
          </w:p>
        </w:tc>
        <w:tc>
          <w:p>
            <w:pPr>
              <w:pStyle w:val="Compact"/>
              <w:jc w:val="left"/>
            </w:pPr>
            <w:r>
              <w:t xml:space="preserve">103.0</w:t>
            </w:r>
          </w:p>
        </w:tc>
        <w:tc>
          <w:p>
            <w:pPr>
              <w:pStyle w:val="Compact"/>
              <w:jc w:val="left"/>
            </w:pPr>
            <w:r>
              <w:t xml:space="preserve">83.0</w:t>
            </w:r>
          </w:p>
        </w:tc>
        <w:tc>
          <w:p>
            <w:pPr>
              <w:pStyle w:val="Compact"/>
              <w:jc w:val="left"/>
            </w:pPr>
            <w:r>
              <w:t xml:space="preserve">153.0</w:t>
            </w:r>
          </w:p>
        </w:tc>
        <w:tc>
          <w:p>
            <w:pPr>
              <w:pStyle w:val="Compact"/>
              <w:jc w:val="left"/>
            </w:pPr>
            <w:r>
              <w:t xml:space="preserve">124.0</w:t>
            </w:r>
          </w:p>
        </w:tc>
        <w:tc>
          <w:p>
            <w:pPr>
              <w:pStyle w:val="Compact"/>
              <w:jc w:val="left"/>
            </w:pPr>
            <w:r>
              <w:t xml:space="preserve">525.0</w:t>
            </w:r>
          </w:p>
        </w:tc>
        <w:tc>
          <w:p>
            <w:pPr>
              <w:pStyle w:val="Compact"/>
              <w:jc w:val="left"/>
            </w:pPr>
            <w:r>
              <w:t xml:space="preserve">277.0</w:t>
            </w:r>
          </w:p>
        </w:tc>
        <w:tc>
          <w:p>
            <w:pPr>
              <w:pStyle w:val="Compact"/>
              <w:jc w:val="left"/>
            </w:pPr>
            <w:r>
              <w:t xml:space="preserve">219.0</w:t>
            </w:r>
          </w:p>
        </w:tc>
        <w:tc>
          <w:p>
            <w:pPr>
              <w:pStyle w:val="Compact"/>
              <w:jc w:val="left"/>
            </w:pPr>
            <w:r>
              <w:t xml:space="preserve">208.0</w:t>
            </w:r>
          </w:p>
        </w:tc>
      </w:tr>
      <w:tr>
        <w:tc>
          <w:p>
            <w:pPr>
              <w:pStyle w:val="Compact"/>
              <w:jc w:val="left"/>
            </w:pPr>
            <w:r>
              <w:t xml:space="preserve">OT</w:t>
            </w:r>
          </w:p>
        </w:tc>
        <w:tc>
          <w:p>
            <w:pPr>
              <w:pStyle w:val="Compact"/>
              <w:jc w:val="left"/>
            </w:pPr>
            <w:r>
              <w:t xml:space="preserve">1312.0</w:t>
            </w:r>
          </w:p>
        </w:tc>
        <w:tc>
          <w:p>
            <w:pPr>
              <w:pStyle w:val="Compact"/>
              <w:jc w:val="left"/>
            </w:pPr>
            <w:r>
              <w:t xml:space="preserve">194.0</w:t>
            </w:r>
          </w:p>
        </w:tc>
        <w:tc>
          <w:p>
            <w:pPr>
              <w:pStyle w:val="Compact"/>
              <w:jc w:val="left"/>
            </w:pPr>
            <w:r>
              <w:t xml:space="preserve">17.0</w:t>
            </w:r>
          </w:p>
        </w:tc>
        <w:tc>
          <w:p>
            <w:pPr>
              <w:pStyle w:val="Compact"/>
              <w:jc w:val="left"/>
            </w:pPr>
            <w:r>
              <w:t xml:space="preserve">51.0</w:t>
            </w:r>
          </w:p>
        </w:tc>
        <w:tc>
          <w:p>
            <w:pPr>
              <w:pStyle w:val="Compact"/>
              <w:jc w:val="left"/>
            </w:pPr>
            <w:r>
              <w:t xml:space="preserve">134.0</w:t>
            </w:r>
          </w:p>
        </w:tc>
        <w:tc>
          <w:p>
            <w:pPr>
              <w:pStyle w:val="Compact"/>
              <w:jc w:val="left"/>
            </w:pPr>
            <w:r>
              <w:t xml:space="preserve">447.0</w:t>
            </w:r>
          </w:p>
        </w:tc>
        <w:tc>
          <w:p>
            <w:pPr>
              <w:pStyle w:val="Compact"/>
              <w:jc w:val="left"/>
            </w:pPr>
            <w:r>
              <w:t xml:space="preserve">129.0</w:t>
            </w:r>
          </w:p>
        </w:tc>
        <w:tc>
          <w:p>
            <w:pPr>
              <w:pStyle w:val="Compact"/>
              <w:jc w:val="left"/>
            </w:pPr>
            <w:r>
              <w:t xml:space="preserve">79.0</w:t>
            </w:r>
          </w:p>
        </w:tc>
        <w:tc>
          <w:p>
            <w:pPr>
              <w:pStyle w:val="Compact"/>
              <w:jc w:val="left"/>
            </w:pPr>
            <w:r>
              <w:t xml:space="preserve">165.0</w:t>
            </w:r>
          </w:p>
        </w:tc>
        <w:tc>
          <w:p>
            <w:pPr>
              <w:pStyle w:val="Compact"/>
              <w:jc w:val="left"/>
            </w:pPr>
            <w:r>
              <w:t xml:space="preserve">163.0</w:t>
            </w:r>
          </w:p>
        </w:tc>
        <w:tc>
          <w:p>
            <w:pPr>
              <w:pStyle w:val="Compact"/>
              <w:jc w:val="left"/>
            </w:pPr>
            <w:r>
              <w:t xml:space="preserve">1015.0</w:t>
            </w:r>
          </w:p>
        </w:tc>
        <w:tc>
          <w:p>
            <w:pPr>
              <w:pStyle w:val="Compact"/>
              <w:jc w:val="left"/>
            </w:pPr>
            <w:r>
              <w:t xml:space="preserve">328.0</w:t>
            </w:r>
          </w:p>
        </w:tc>
        <w:tc>
          <w:p>
            <w:pPr>
              <w:pStyle w:val="Compact"/>
              <w:jc w:val="left"/>
            </w:pPr>
            <w:r>
              <w:t xml:space="preserve">222.0</w:t>
            </w:r>
          </w:p>
        </w:tc>
        <w:tc>
          <w:p>
            <w:pPr>
              <w:pStyle w:val="Compact"/>
              <w:jc w:val="left"/>
            </w:pPr>
            <w:r>
              <w:t xml:space="preserve">245.0</w:t>
            </w:r>
          </w:p>
        </w:tc>
      </w:tr>
      <w:tr>
        <w:tc>
          <w:p>
            <w:pPr>
              <w:pStyle w:val="Compact"/>
              <w:jc w:val="left"/>
            </w:pPr>
            <w:r>
              <w:t xml:space="preserve">MS</w:t>
            </w:r>
          </w:p>
        </w:tc>
        <w:tc>
          <w:p>
            <w:pPr>
              <w:pStyle w:val="Compact"/>
              <w:jc w:val="left"/>
            </w:pPr>
            <w:r>
              <w:t xml:space="preserve">1330.0</w:t>
            </w:r>
          </w:p>
        </w:tc>
        <w:tc>
          <w:p>
            <w:pPr>
              <w:pStyle w:val="Compact"/>
              <w:jc w:val="left"/>
            </w:pPr>
            <w:r>
              <w:t xml:space="preserve">174.0</w:t>
            </w:r>
          </w:p>
        </w:tc>
        <w:tc>
          <w:p>
            <w:pPr>
              <w:pStyle w:val="Compact"/>
              <w:jc w:val="left"/>
            </w:pPr>
            <w:r>
              <w:t xml:space="preserve">33.0</w:t>
            </w:r>
          </w:p>
        </w:tc>
        <w:tc>
          <w:p>
            <w:pPr>
              <w:pStyle w:val="Compact"/>
              <w:jc w:val="left"/>
            </w:pPr>
            <w:r>
              <w:t xml:space="preserve">41.0</w:t>
            </w:r>
          </w:p>
        </w:tc>
        <w:tc>
          <w:p>
            <w:pPr>
              <w:pStyle w:val="Compact"/>
              <w:jc w:val="left"/>
            </w:pPr>
            <w:r>
              <w:t xml:space="preserve">186.0</w:t>
            </w:r>
          </w:p>
        </w:tc>
        <w:tc>
          <w:p>
            <w:pPr>
              <w:pStyle w:val="Compact"/>
              <w:jc w:val="left"/>
            </w:pPr>
            <w:r>
              <w:t xml:space="preserve">388.0</w:t>
            </w:r>
          </w:p>
        </w:tc>
        <w:tc>
          <w:p>
            <w:pPr>
              <w:pStyle w:val="Compact"/>
              <w:jc w:val="left"/>
            </w:pPr>
            <w:r>
              <w:t xml:space="preserve">119.0</w:t>
            </w:r>
          </w:p>
        </w:tc>
        <w:tc>
          <w:p>
            <w:pPr>
              <w:pStyle w:val="Compact"/>
              <w:jc w:val="left"/>
            </w:pPr>
            <w:r>
              <w:t xml:space="preserve">81.0</w:t>
            </w:r>
          </w:p>
        </w:tc>
        <w:tc>
          <w:p>
            <w:pPr>
              <w:pStyle w:val="Compact"/>
              <w:jc w:val="left"/>
            </w:pPr>
            <w:r>
              <w:t xml:space="preserve">166.0</w:t>
            </w:r>
          </w:p>
        </w:tc>
        <w:tc>
          <w:p>
            <w:pPr>
              <w:pStyle w:val="Compact"/>
              <w:jc w:val="left"/>
            </w:pPr>
            <w:r>
              <w:t xml:space="preserve">146.0</w:t>
            </w:r>
          </w:p>
        </w:tc>
        <w:tc>
          <w:p>
            <w:pPr>
              <w:pStyle w:val="Compact"/>
              <w:jc w:val="left"/>
            </w:pPr>
            <w:r>
              <w:t xml:space="preserve">795.0</w:t>
            </w:r>
          </w:p>
        </w:tc>
        <w:tc>
          <w:p>
            <w:pPr>
              <w:pStyle w:val="Compact"/>
              <w:jc w:val="left"/>
            </w:pPr>
            <w:r>
              <w:t xml:space="preserve">312.0</w:t>
            </w:r>
          </w:p>
        </w:tc>
        <w:tc>
          <w:p>
            <w:pPr>
              <w:pStyle w:val="Compact"/>
              <w:jc w:val="left"/>
            </w:pPr>
            <w:r>
              <w:t xml:space="preserve">223.0</w:t>
            </w:r>
          </w:p>
        </w:tc>
        <w:tc>
          <w:p>
            <w:pPr>
              <w:pStyle w:val="Compact"/>
              <w:jc w:val="left"/>
            </w:pPr>
            <w:r>
              <w:t xml:space="preserve">238.0</w:t>
            </w:r>
          </w:p>
        </w:tc>
      </w:tr>
      <w:tr>
        <w:tc>
          <w:p>
            <w:pPr>
              <w:pStyle w:val="Compact"/>
              <w:jc w:val="left"/>
            </w:pPr>
            <w:r>
              <w:t xml:space="preserve">NB</w:t>
            </w:r>
          </w:p>
        </w:tc>
        <w:tc>
          <w:p>
            <w:pPr>
              <w:pStyle w:val="Compact"/>
              <w:jc w:val="left"/>
            </w:pPr>
            <w:r>
              <w:t xml:space="preserve">1322.0</w:t>
            </w:r>
          </w:p>
        </w:tc>
        <w:tc>
          <w:p>
            <w:pPr>
              <w:pStyle w:val="Compact"/>
              <w:jc w:val="left"/>
            </w:pPr>
            <w:r>
              <w:t xml:space="preserve">202.0</w:t>
            </w:r>
          </w:p>
        </w:tc>
        <w:tc>
          <w:p>
            <w:pPr>
              <w:pStyle w:val="Compact"/>
              <w:jc w:val="left"/>
            </w:pPr>
            <w:r>
              <w:t xml:space="preserve">40.0</w:t>
            </w:r>
          </w:p>
        </w:tc>
        <w:tc>
          <w:p>
            <w:pPr>
              <w:pStyle w:val="Compact"/>
              <w:jc w:val="left"/>
            </w:pPr>
            <w:r>
              <w:t xml:space="preserve">40.0</w:t>
            </w:r>
          </w:p>
        </w:tc>
        <w:tc>
          <w:p>
            <w:pPr>
              <w:pStyle w:val="Compact"/>
              <w:jc w:val="left"/>
            </w:pPr>
            <w:r>
              <w:t xml:space="preserve">214.0</w:t>
            </w:r>
          </w:p>
        </w:tc>
        <w:tc>
          <w:p>
            <w:pPr>
              <w:pStyle w:val="Compact"/>
              <w:jc w:val="left"/>
            </w:pPr>
            <w:r>
              <w:t xml:space="preserve">310.0</w:t>
            </w:r>
          </w:p>
        </w:tc>
        <w:tc>
          <w:p>
            <w:pPr>
              <w:pStyle w:val="Compact"/>
              <w:jc w:val="left"/>
            </w:pPr>
            <w:r>
              <w:t xml:space="preserve">121.0</w:t>
            </w:r>
          </w:p>
        </w:tc>
        <w:tc>
          <w:p>
            <w:pPr>
              <w:pStyle w:val="Compact"/>
              <w:jc w:val="left"/>
            </w:pPr>
            <w:r>
              <w:t xml:space="preserve">82.0</w:t>
            </w:r>
          </w:p>
        </w:tc>
        <w:tc>
          <w:p>
            <w:pPr>
              <w:pStyle w:val="Compact"/>
              <w:jc w:val="left"/>
            </w:pPr>
            <w:r>
              <w:t xml:space="preserve">166.0</w:t>
            </w:r>
          </w:p>
        </w:tc>
        <w:tc>
          <w:p>
            <w:pPr>
              <w:pStyle w:val="Compact"/>
              <w:jc w:val="left"/>
            </w:pPr>
            <w:r>
              <w:t xml:space="preserve">147.0</w:t>
            </w:r>
          </w:p>
        </w:tc>
        <w:tc>
          <w:p>
            <w:pPr>
              <w:pStyle w:val="Compact"/>
              <w:jc w:val="left"/>
            </w:pPr>
            <w:r>
              <w:t xml:space="preserve">691.0</w:t>
            </w:r>
          </w:p>
        </w:tc>
        <w:tc>
          <w:p>
            <w:pPr>
              <w:pStyle w:val="Compact"/>
              <w:jc w:val="left"/>
            </w:pPr>
            <w:r>
              <w:t xml:space="preserve">313.0</w:t>
            </w:r>
          </w:p>
        </w:tc>
        <w:tc>
          <w:p>
            <w:pPr>
              <w:pStyle w:val="Compact"/>
              <w:jc w:val="left"/>
            </w:pPr>
            <w:r>
              <w:t xml:space="preserve">234.0</w:t>
            </w:r>
          </w:p>
        </w:tc>
        <w:tc>
          <w:p>
            <w:pPr>
              <w:pStyle w:val="Compact"/>
              <w:jc w:val="left"/>
            </w:pPr>
            <w:r>
              <w:t xml:space="preserve">238.0</w:t>
            </w:r>
          </w:p>
        </w:tc>
      </w:tr>
    </w:tbl>
    <w:p>
      <w:r>
        <w:t xml:space="preserve">bio2 = Mean Diurnal Range (Mean of monthly (max temp - min temp))</w:t>
      </w:r>
      <w:r>
        <w:br w:type="textWrapping"/>
      </w:r>
      <w:r>
        <w:t xml:space="preserve">bio3 = Isothermality (BIO2/BIO7) (* 100)</w:t>
      </w:r>
      <w:r>
        <w:br w:type="textWrapping"/>
      </w:r>
      <w:r>
        <w:t xml:space="preserve">bio4 = Temperature Seasonality (standard deviation *100)</w:t>
      </w:r>
      <w:r>
        <w:br w:type="textWrapping"/>
      </w:r>
      <w:r>
        <w:t xml:space="preserve">bio5 = Max Temperature of Warmest Month</w:t>
      </w:r>
      <w:r>
        <w:br w:type="textWrapping"/>
      </w:r>
      <w:r>
        <w:t xml:space="preserve">bio6 = Min Temperature of Coldest Month</w:t>
      </w:r>
      <w:r>
        <w:br w:type="textWrapping"/>
      </w:r>
      <w:r>
        <w:t xml:space="preserve">bio7 = Temperature Annual Range (BIO5-BIO6)</w:t>
      </w:r>
      <w:r>
        <w:br w:type="textWrapping"/>
      </w:r>
      <w:r>
        <w:t xml:space="preserve">bio8 = Mean Temperature of Wettest Quarter</w:t>
      </w:r>
      <w:r>
        <w:br w:type="textWrapping"/>
      </w:r>
      <w:r>
        <w:t xml:space="preserve">bio9 = Mean Temperature of Driest Quarter</w:t>
      </w:r>
      <w:r>
        <w:br w:type="textWrapping"/>
      </w:r>
      <w:r>
        <w:t xml:space="preserve">bio12 = Annual Precipitation</w:t>
      </w:r>
      <w:r>
        <w:br w:type="textWrapping"/>
      </w:r>
      <w:r>
        <w:t xml:space="preserve">bio13 = Precipitation of Wettest Month</w:t>
      </w:r>
      <w:r>
        <w:br w:type="textWrapping"/>
      </w:r>
      <w:r>
        <w:t xml:space="preserve">bio14 = Precipitation of Driest Month</w:t>
      </w:r>
      <w:r>
        <w:br w:type="textWrapping"/>
      </w:r>
      <w:r>
        <w:t xml:space="preserve">bio15 = Precipitation Seasonality (Coefficient of Variation)</w:t>
      </w:r>
      <w:r>
        <w:br w:type="textWrapping"/>
      </w:r>
      <w:r>
        <w:t xml:space="preserve">bio18 = Precipitation of Warmest Quarter</w:t>
      </w:r>
      <w:r>
        <w:br w:type="textWrapping"/>
      </w:r>
      <w:r>
        <w:t xml:space="preserve">bio19 = Precipitation of Coldest Quarter</w:t>
      </w:r>
    </w:p>
    <w:p>
      <w:r>
        <w:t xml:space="preserve">Temperature values are in degrees C * 10.</w:t>
      </w:r>
      <w:r>
        <w:br w:type="textWrapping"/>
      </w:r>
      <w:r>
        <w:t xml:space="preserve">Precipitation values are in mm.</w:t>
      </w:r>
    </w:p>
    <w:p/>
    <w:p>
      <w:pPr>
        <w:pStyle w:val="Heading1"/>
      </w:pPr>
      <w:bookmarkStart w:id="22" w:name="principal-components-of-bioclim-data"/>
      <w:bookmarkEnd w:id="22"/>
      <w:r>
        <w:t xml:space="preserve">Principal components of bioclim data:</w:t>
      </w:r>
    </w:p>
    <w:p>
      <w:r>
        <w:drawing>
          <wp:inline>
            <wp:extent cx="5440680" cy="3972774"/>
            <wp:effectExtent b="0" l="0" r="0" t="0"/>
            <wp:docPr descr="" id="1" name="Picture"/>
            <a:graphic>
              <a:graphicData uri="http://schemas.openxmlformats.org/drawingml/2006/picture">
                <pic:pic>
                  <pic:nvPicPr>
                    <pic:cNvPr descr="/home/gus/MEGAsync/projects/ddRAD_phase2/repos/ddRAD_phase2/notebook/static/media/gs_2015/bioclim_pca_1x3.png" id="0" name="Picture"/>
                    <pic:cNvPicPr>
                      <a:picLocks noChangeArrowheads="1" noChangeAspect="1"/>
                    </pic:cNvPicPr>
                  </pic:nvPicPr>
                  <pic:blipFill>
                    <a:blip r:embed="rId23"/>
                    <a:stretch>
                      <a:fillRect/>
                    </a:stretch>
                  </pic:blipFill>
                  <pic:spPr bwMode="auto">
                    <a:xfrm>
                      <a:off x="0" y="0"/>
                      <a:ext cx="5440680" cy="3972774"/>
                    </a:xfrm>
                    <a:prstGeom prst="rect">
                      <a:avLst/>
                    </a:prstGeom>
                    <a:noFill/>
                    <a:ln w="9525">
                      <a:noFill/>
                      <a:headEnd/>
                      <a:tailEnd/>
                    </a:ln>
                  </pic:spPr>
                </pic:pic>
              </a:graphicData>
            </a:graphic>
          </wp:inline>
        </w:drawing>
      </w:r>
    </w:p>
    <w:p>
      <w:pPr>
        <w:pStyle w:val="ImageCaption"/>
      </w:pPr>
      <w:r>
        <w:rPr>
          <w:b/>
        </w:rPr>
        <w:t xml:space="preserve">Principal components one and three.</w:t>
      </w:r>
      <w:r>
        <w:t xml:space="preserve"> </w:t>
      </w:r>
      <w:r>
        <w:t xml:space="preserve">Principal components one and three. Components one and three plotted against each other illustrate that the MS site groups apart from the others along component three’s axis. Investigation of component three’s loading values reveals that the bioclims most responsible for this are bio8, bio15. and bio13.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a9bd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