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Gloria-Soria</w:t>
      </w:r>
      <w:r>
        <w:t xml:space="preserve"> </w:t>
      </w:r>
      <w:r>
        <w:t xml:space="preserve">(ddRAD58)</w:t>
      </w:r>
    </w:p>
    <w:p>
      <w:pPr>
        <w:pStyle w:val="Author"/>
      </w:pPr>
      <w:r>
        <w:t xml:space="preserve">Gus</w:t>
      </w:r>
      <w:r>
        <w:t xml:space="preserve"> </w:t>
      </w:r>
      <w:r>
        <w:t xml:space="preserve">Dunn</w:t>
      </w:r>
    </w:p>
    <w:p>
      <w:pPr>
        <w:pStyle w:val="Date"/>
      </w:pPr>
      <w:r>
        <w:t xml:space="preserve">2014-12-29</w:t>
      </w:r>
    </w:p>
    <w:p>
      <w:pPr>
        <w:pStyle w:val="Heading1"/>
      </w:pPr>
      <w:bookmarkStart w:id="21" w:name="functional-annotations"/>
      <w:bookmarkEnd w:id="21"/>
      <w:r>
        <w:t xml:space="preserve">Functional Annotations</w:t>
      </w:r>
    </w:p>
    <w:p>
      <w:pPr>
        <w:pStyle w:val="Heading2"/>
      </w:pPr>
      <w:bookmarkStart w:id="22" w:name="sequences-used"/>
      <w:bookmarkEnd w:id="22"/>
      <w:r>
        <w:t xml:space="preserve">Sequences Used</w:t>
      </w:r>
    </w:p>
    <w:p>
      <w:r>
        <w:rPr>
          <w:i/>
          <w:b/>
        </w:rPr>
        <w:t xml:space="preserve">Glossina fuscipes fuscipes:</w:t>
      </w:r>
      <w:r>
        <w:t xml:space="preserve"> </w:t>
      </w:r>
      <w:r>
        <w:t xml:space="preserve">All putative peptides annotated for</w:t>
      </w:r>
      <w:r>
        <w:t xml:space="preserve"> </w:t>
      </w:r>
      <w:r>
        <w:rPr>
          <w:i/>
        </w:rPr>
        <w:t xml:space="preserve">G. f. fuscipes</w:t>
      </w:r>
      <w:r>
        <w:t xml:space="preserve"> </w:t>
      </w:r>
      <w:r>
        <w:t xml:space="preserve">in the GfusI1.1 gene-build were obtained from</w:t>
      </w:r>
      <w:r>
        <w:t xml:space="preserve"> </w:t>
      </w:r>
      <w:hyperlink r:id="rId23">
        <w:r>
          <w:rPr>
            <w:rStyle w:val="Link"/>
          </w:rPr>
          <w:t xml:space="preserve">VectorBase</w:t>
        </w:r>
      </w:hyperlink>
      <w:r>
        <w:t xml:space="preserve"> </w:t>
      </w:r>
      <w:r>
        <w:t xml:space="preserve">[1]</w:t>
      </w:r>
    </w:p>
    <w:p>
      <w:r>
        <w:rPr>
          <w:b/>
        </w:rPr>
        <w:t xml:space="preserve">Other:</w:t>
      </w:r>
      <w:r>
        <w:t xml:space="preserve"> </w:t>
      </w:r>
      <w:r>
        <w:t xml:space="preserve">The sequences used to compare the</w:t>
      </w:r>
      <w:r>
        <w:t xml:space="preserve"> </w:t>
      </w:r>
      <w:r>
        <w:rPr>
          <w:i/>
        </w:rPr>
        <w:t xml:space="preserve">G. f. fuscipes</w:t>
      </w:r>
      <w:r>
        <w:t xml:space="preserve"> </w:t>
      </w:r>
      <w:r>
        <w:t xml:space="preserve">peptides against well known/annotated sequences were obtained from UNIPROT/SwissProt</w:t>
      </w:r>
      <w:r>
        <w:t xml:space="preserve"> </w:t>
      </w:r>
      <w:r>
        <w:t xml:space="preserve">[2]</w:t>
      </w:r>
      <w:r>
        <w:t xml:space="preserve"> (used with</w:t>
      </w:r>
      <w:r>
        <w:t xml:space="preserve"> </w:t>
      </w:r>
      <w:r>
        <w:rPr>
          <w:rStyle w:val="VerbatimChar"/>
        </w:rPr>
        <w:t xml:space="preserve">blastp</w:t>
      </w:r>
      <w:r>
        <w:t xml:space="preserve">) and PFAM</w:t>
      </w:r>
      <w:r>
        <w:t xml:space="preserve"> </w:t>
      </w:r>
      <w:r>
        <w:t xml:space="preserve">[3]</w:t>
      </w:r>
      <w:r>
        <w:t xml:space="preserve"> (used with</w:t>
      </w:r>
      <w:r>
        <w:t xml:space="preserve"> </w:t>
      </w:r>
      <w:r>
        <w:rPr>
          <w:rStyle w:val="VerbatimChar"/>
        </w:rPr>
        <w:t xml:space="preserve">hmmscan</w:t>
      </w:r>
      <w:r>
        <w:t xml:space="preserve">) as required by</w:t>
      </w:r>
      <w:r>
        <w:t xml:space="preserve"> </w:t>
      </w:r>
      <w:hyperlink r:id="rId23">
        <w:r>
          <w:rPr>
            <w:rStyle w:val="Link"/>
          </w:rPr>
          <w:t xml:space="preserve">ARGOT2</w:t>
        </w:r>
      </w:hyperlink>
      <w:r>
        <w:t xml:space="preserve"> </w:t>
      </w:r>
      <w:r>
        <w:t xml:space="preserve">[4–6]</w:t>
      </w:r>
      <w:r>
        <w:t xml:space="preserve">.</w:t>
      </w:r>
    </w:p>
    <w:p>
      <w:pPr>
        <w:pStyle w:val="Heading2"/>
      </w:pPr>
      <w:bookmarkStart w:id="24" w:name="argot2-analysis"/>
      <w:bookmarkEnd w:id="24"/>
      <w:r>
        <w:t xml:space="preserve">Argot2 Analysis</w:t>
      </w:r>
    </w:p>
    <w:p>
      <w:r>
        <w:t xml:space="preserve">The</w:t>
      </w:r>
      <w:r>
        <w:t xml:space="preserve"> </w:t>
      </w:r>
      <w:r>
        <w:rPr>
          <w:rStyle w:val="VerbatimChar"/>
        </w:rPr>
        <w:t xml:space="preserve">blastp</w:t>
      </w:r>
      <w:r>
        <w:t xml:space="preserve"> </w:t>
      </w:r>
      <w:r>
        <w:t xml:space="preserve">and</w:t>
      </w:r>
      <w:r>
        <w:t xml:space="preserve"> </w:t>
      </w:r>
      <w:r>
        <w:rPr>
          <w:rStyle w:val="VerbatimChar"/>
        </w:rPr>
        <w:t xml:space="preserve">hmmscan</w:t>
      </w:r>
      <w:r>
        <w:t xml:space="preserve"> </w:t>
      </w:r>
      <w:r>
        <w:t xml:space="preserve">results submitted to ARGOT2 were obtained by performing local searches on the</w:t>
      </w:r>
      <w:r>
        <w:t xml:space="preserve"> </w:t>
      </w:r>
      <w:r>
        <w:rPr>
          <w:i/>
        </w:rPr>
        <w:t xml:space="preserve">G. f. fuscipes</w:t>
      </w:r>
      <w:r>
        <w:t xml:space="preserve"> </w:t>
      </w:r>
      <w:r>
        <w:t xml:space="preserve">peptides against the UNIPROT peptide database (obtained on 2014-09-08) and the hidden Markov models (HMM) of the combined protein-domain sets om the Pfam databases (Pfam-A and Pfam-B: obtained on 2014-09-08), respectively. Settings used were as dictated by the ARGOT2 site.</w:t>
      </w:r>
    </w:p>
    <w:p>
      <w:r>
        <w:t xml:space="preserve">The</w:t>
      </w:r>
      <w:r>
        <w:t xml:space="preserve"> </w:t>
      </w:r>
      <w:r>
        <w:rPr>
          <w:rStyle w:val="VerbatimChar"/>
        </w:rPr>
        <w:t xml:space="preserve">blastp</w:t>
      </w:r>
      <w:r>
        <w:t xml:space="preserve"> </w:t>
      </w:r>
      <w:r>
        <w:t xml:space="preserve">and</w:t>
      </w:r>
      <w:r>
        <w:t xml:space="preserve"> </w:t>
      </w:r>
      <w:r>
        <w:rPr>
          <w:rStyle w:val="VerbatimChar"/>
        </w:rPr>
        <w:t xml:space="preserve">hmmscan</w:t>
      </w:r>
      <w:r>
        <w:t xml:space="preserve"> </w:t>
      </w:r>
      <w:r>
        <w:t xml:space="preserve">results were uploaded to ARGOT2 servers for analysis after being split into 10 groups (roughly 2330 peptides per group) to prevent overloading the remote ARGOT2 cluster. The functional annotations were then downloaded and joined back together.</w:t>
      </w:r>
    </w:p>
    <w:p>
      <w:pPr>
        <w:pStyle w:val="Heading1"/>
      </w:pPr>
      <w:bookmarkStart w:id="25" w:name="linkage-analysis"/>
      <w:bookmarkEnd w:id="25"/>
      <w:r>
        <w:t xml:space="preserve">Linkage Analysis</w:t>
      </w:r>
    </w:p>
    <w:p>
      <w:pPr>
        <w:pStyle w:val="Heading2"/>
      </w:pPr>
      <w:bookmarkStart w:id="26" w:name="source-of-snps"/>
      <w:bookmarkEnd w:id="26"/>
      <w:r>
        <w:t xml:space="preserve">Source of SNPs</w:t>
      </w:r>
    </w:p>
    <w:p>
      <w:r>
        <w:t xml:space="preserve">SNPs were obtained as described earlier in this manuscript.</w:t>
      </w:r>
    </w:p>
    <w:p>
      <w:pPr>
        <w:pStyle w:val="Heading2"/>
      </w:pPr>
      <w:bookmarkStart w:id="27" w:name="linkage-measurements"/>
      <w:bookmarkEnd w:id="27"/>
      <w:r>
        <w:t xml:space="preserve">Linkage measurements</w:t>
      </w:r>
    </w:p>
    <w:p>
      <w:r>
        <w:t xml:space="preserve">Plink version 1.9</w:t>
      </w:r>
      <w:r>
        <w:t xml:space="preserve"> </w:t>
      </w:r>
      <w:r>
        <w:t xml:space="preserve">[7]</w:t>
      </w:r>
      <w:r>
        <w:t xml:space="preserve"> </w:t>
      </w:r>
      <w:r>
        <w:t xml:space="preserve">was used to calculate pairwise linkage disequilibrium (LD) as</w:t>
      </w:r>
      <w:r>
        <w:t xml:space="preserve"> </w:t>
      </w:r>
      <m:oMath>
        <m:r>
          <m:rPr>
            <m:sty m:val="p"/>
          </m:rPr>
          <m:t>r</m:t>
        </m:r>
      </m:oMath>
      <w:r>
        <w:t xml:space="preserve"> </w:t>
      </w:r>
      <w:r>
        <w:t xml:space="preserve">for all SNP-pairs located on common supercontigs. The</w:t>
      </w:r>
      <w:r>
        <w:t xml:space="preserve"> </w:t>
      </w:r>
      <w:r>
        <w:rPr>
          <w:rStyle w:val="VerbatimChar"/>
        </w:rPr>
        <w:t xml:space="preserve">--allow-extra-chr</w:t>
      </w:r>
      <w:r>
        <w:t xml:space="preserve"> </w:t>
      </w:r>
      <w:r>
        <w:t xml:space="preserve">option was required to handle the number of supercontigs. Unless stated otherwise, all subsequent analysis pertaining to LD used</w:t>
      </w:r>
      <w:r>
        <w:t xml:space="preserve"> </w:t>
      </w:r>
      <m:oMath>
        <m:sSup>
          <m:e>
            <m:r>
              <m:rPr>
                <m:sty m:val="p"/>
              </m:rPr>
              <m:t>r</m:t>
            </m:r>
          </m:e>
          <m:sup>
            <m:r>
              <m:rPr>
                <m:sty m:val="p"/>
              </m:rPr>
              <m:t>2</m:t>
            </m:r>
          </m:sup>
        </m:sSup>
      </m:oMath>
      <w:r>
        <w:t xml:space="preserve">.</w:t>
      </w:r>
    </w:p>
    <w:p>
      <w:pPr>
        <w:pStyle w:val="Heading2"/>
      </w:pPr>
      <w:bookmarkStart w:id="28" w:name="ld-based-filtering-of-snp-pairs"/>
      <w:bookmarkEnd w:id="28"/>
      <w:r>
        <w:t xml:space="preserve">LD-based filtering of SNP-pairs</w:t>
      </w:r>
    </w:p>
    <w:p>
      <w:r>
        <w:t xml:space="preserve">The LD values of SNP-pairs were compared after binning SNP-pairs by base pair separation to control for unknown rates of recombination in</w:t>
      </w:r>
      <w:r>
        <w:t xml:space="preserve"> </w:t>
      </w:r>
      <w:r>
        <w:rPr>
          <w:i/>
        </w:rPr>
        <w:t xml:space="preserve">G. f. fuscipes</w:t>
      </w:r>
      <w:r>
        <w:t xml:space="preserve">. Bin length was set at 50 bp with the lower bound inclusive and higher bound exclusive. In other words the bins were defined as</w:t>
      </w:r>
      <w:r>
        <w:t xml:space="preserve"> </w:t>
      </w:r>
      <m:oMath>
        <m:r>
          <m:rPr>
            <m:sty m:val="p"/>
          </m:rPr>
          <m:t>[</m:t>
        </m:r>
        <m:r>
          <m:rPr>
            <m:sty m:val="p"/>
          </m:rPr>
          <m:t>i</m:t>
        </m:r>
        <m:r>
          <m:rPr>
            <m:sty m:val="p"/>
          </m:rPr>
          <m:t>,</m:t>
        </m:r>
        <m:r>
          <m:rPr>
            <m:sty m:val="p"/>
          </m:rPr>
          <m:t>i</m:t>
        </m:r>
        <m:r>
          <m:rPr>
            <m:sty m:val="p"/>
          </m:rPr>
          <m:t>+</m:t>
        </m:r>
        <m:r>
          <m:rPr>
            <m:sty m:val="p"/>
          </m:rPr>
          <m:t>49</m:t>
        </m:r>
        <m:r>
          <m:rPr>
            <m:sty m:val="p"/>
          </m:rPr>
          <m:t>)</m:t>
        </m:r>
      </m:oMath>
      <w:r>
        <w:t xml:space="preserve"> </w:t>
      </w:r>
      <w:r>
        <w:t xml:space="preserve">where</w:t>
      </w:r>
      <w:r>
        <w:t xml:space="preserve"> </w:t>
      </w:r>
      <m:oMath>
        <m:r>
          <m:rPr>
            <m:sty m:val="p"/>
          </m:rPr>
          <m:t>i</m:t>
        </m:r>
        <m:r>
          <m:rPr>
            <m:sty m:val="p"/>
          </m:rPr>
          <m:t>∈</m:t>
        </m:r>
        <m:r>
          <m:rPr>
            <m:sty m:val="p"/>
          </m:rPr>
          <m:t>{</m:t>
        </m:r>
        <m:r>
          <m:rPr>
            <m:sty m:val="p"/>
          </m:rPr>
          <m:t>1</m:t>
        </m:r>
        <m:r>
          <m:rPr>
            <m:sty m:val="p"/>
          </m:rPr>
          <m:t>,</m:t>
        </m:r>
        <m:r>
          <m:rPr>
            <m:sty m:val="p"/>
          </m:rPr>
          <m:t>1</m:t>
        </m:r>
        <m:r>
          <m:rPr>
            <m:sty m:val="p"/>
          </m:rPr>
          <m:t>(</m:t>
        </m:r>
        <m:r>
          <m:rPr>
            <m:sty m:val="p"/>
          </m:rPr>
          <m:t>50</m:t>
        </m:r>
        <m:r>
          <m:rPr>
            <m:sty m:val="p"/>
          </m:rPr>
          <m:t>)</m:t>
        </m:r>
        <m:r>
          <m:rPr>
            <m:sty m:val="p"/>
          </m:rPr>
          <m:t>,</m:t>
        </m:r>
        <m:r>
          <m:rPr>
            <m:sty m:val="p"/>
          </m:rPr>
          <m:t>2</m:t>
        </m:r>
        <m:r>
          <m:rPr>
            <m:sty m:val="p"/>
          </m:rPr>
          <m:t>(</m:t>
        </m:r>
        <m:r>
          <m:rPr>
            <m:sty m:val="p"/>
          </m:rPr>
          <m:t>50</m:t>
        </m:r>
        <m:r>
          <m:rPr>
            <m:sty m:val="p"/>
          </m:rPr>
          <m:t>)</m:t>
        </m:r>
        <m:r>
          <m:rPr>
            <m:sty m:val="p"/>
          </m:rPr>
          <m:t>,</m:t>
        </m:r>
        <m:r>
          <m:rPr>
            <m:sty m:val="p"/>
          </m:rPr>
          <m:t>3</m:t>
        </m:r>
        <m:r>
          <m:rPr>
            <m:sty m:val="p"/>
          </m:rPr>
          <m:t>(</m:t>
        </m:r>
        <m:r>
          <m:rPr>
            <m:sty m:val="p"/>
          </m:rPr>
          <m:t>50</m:t>
        </m:r>
        <m:r>
          <m:rPr>
            <m:sty m:val="p"/>
          </m:rPr>
          <m:t>)</m:t>
        </m:r>
        <m:r>
          <m:rPr>
            <m:sty m:val="p"/>
          </m:rPr>
          <m:t>.</m:t>
        </m:r>
        <m:r>
          <m:rPr>
            <m:sty m:val="p"/>
          </m:rPr>
          <m:t>.</m:t>
        </m:r>
        <m:r>
          <m:rPr>
            <m:sty m:val="p"/>
          </m:rPr>
          <m:t>.</m:t>
        </m:r>
        <m:r>
          <m:rPr>
            <m:sty m:val="p"/>
          </m:rPr>
          <m:t>n</m:t>
        </m:r>
        <m:r>
          <m:rPr>
            <m:sty m:val="p"/>
          </m:rPr>
          <m:t>(</m:t>
        </m:r>
        <m:r>
          <m:rPr>
            <m:sty m:val="p"/>
          </m:rPr>
          <m:t>50</m:t>
        </m:r>
        <m:r>
          <m:rPr>
            <m:sty m:val="p"/>
          </m:rPr>
          <m:t>)</m:t>
        </m:r>
        <m:r>
          <m:rPr>
            <m:sty m:val="p"/>
          </m:rPr>
          <m:t>}</m:t>
        </m:r>
      </m:oMath>
      <w:r>
        <w:t xml:space="preserve"> </w:t>
      </w:r>
      <w:r>
        <w:t xml:space="preserve">and</w:t>
      </w:r>
      <w:r>
        <w:t xml:space="preserve"> </w:t>
      </w:r>
      <m:oMath>
        <m:r>
          <m:rPr>
            <m:sty m:val="p"/>
          </m:rPr>
          <m:t>n</m:t>
        </m:r>
      </m:oMath>
      <w:r>
        <w:t xml:space="preserve"> </w:t>
      </w:r>
      <w:r>
        <w:t xml:space="preserve">is a positive integer.</w:t>
      </w:r>
    </w:p>
    <w:p>
      <w:r>
        <w:t xml:space="preserve">To identify SNP-pairs for further investigation in an arbitrary set of binned SNP-pairs, we needed to assign probabilities to each SNP-pair in the bin. The distributions of binned SNP-pairs are bounded by 0 and 1 and do not appear to be Normal in shape. Additionally, in many cases, the data appear to exhibit peaks at both the lower and upper</w:t>
      </w:r>
      <w:r>
        <w:t xml:space="preserve"> </w:t>
      </w:r>
      <m:oMath>
        <m:sSup>
          <m:e>
            <m:r>
              <m:rPr>
                <m:sty m:val="p"/>
              </m:rPr>
              <m:t>r</m:t>
            </m:r>
          </m:e>
          <m:sup>
            <m:r>
              <m:rPr>
                <m:sty m:val="p"/>
              </m:rPr>
              <m:t>2</m:t>
            </m:r>
          </m:sup>
        </m:sSup>
      </m:oMath>
      <w:r>
        <w:t xml:space="preserve"> </w:t>
      </w:r>
      <w:r>
        <w:t xml:space="preserve">range. This suggested that the data may be modeled well using the probability density function (PDF) of the Beta distribution:</w:t>
      </w:r>
    </w:p>
    <w:p>
      <m:oMathPara>
        <m:oMathParaPr>
          <m:jc m:val="center"/>
        </m:oMathParaPr>
        <m:oMath>
          <m:r>
            <m:rPr>
              <m:sty m:val="p"/>
            </m:rPr>
            <m:t>f</m:t>
          </m:r>
          <m:r>
            <m:rPr>
              <m:sty m:val="p"/>
            </m:rPr>
            <m:t>(</m:t>
          </m:r>
          <m:r>
            <m:rPr>
              <m:sty m:val="p"/>
            </m:rPr>
            <m:t>x</m:t>
          </m:r>
          <m:r>
            <m:rPr>
              <m:sty m:val="p"/>
            </m:rPr>
            <m:t>;</m:t>
          </m:r>
          <m:r>
            <m:rPr>
              <m:sty m:val="p"/>
            </m:rPr>
            <m:t>α</m:t>
          </m:r>
          <m:r>
            <m:rPr>
              <m:sty m:val="p"/>
            </m:rPr>
            <m:t>,</m:t>
          </m:r>
          <m:r>
            <m:rPr>
              <m:sty m:val="p"/>
            </m:rPr>
            <m:t>β</m:t>
          </m:r>
          <m:r>
            <m:rPr>
              <m:sty m:val="p"/>
            </m:rPr>
            <m:t>)</m:t>
          </m:r>
          <m:r>
            <m:rPr>
              <m:sty m:val="p"/>
            </m:rPr>
            <m:t>=</m:t>
          </m:r>
          <m:f>
            <m:fPr>
              <m:type m:val="bar"/>
            </m:fPr>
            <m:num>
              <m:sSup>
                <m:e>
                  <m:r>
                    <m:rPr>
                      <m:sty m:val="p"/>
                    </m:rPr>
                    <m:t>x</m:t>
                  </m:r>
                </m:e>
                <m:sup>
                  <m:r>
                    <m:rPr>
                      <m:sty m:val="p"/>
                    </m:rPr>
                    <m:t>α</m:t>
                  </m:r>
                  <m:r>
                    <m:rPr>
                      <m:sty m:val="p"/>
                    </m:rPr>
                    <m:t>−</m:t>
                  </m:r>
                  <m:r>
                    <m:rPr>
                      <m:sty m:val="p"/>
                    </m:rPr>
                    <m:t>1</m:t>
                  </m:r>
                </m:sup>
              </m:sSup>
              <m:r>
                <m:rPr>
                  <m:sty m:val="p"/>
                </m:rPr>
                <m:t>(</m:t>
              </m:r>
              <m:r>
                <m:rPr>
                  <m:sty m:val="p"/>
                </m:rPr>
                <m:t>1</m:t>
              </m:r>
              <m:r>
                <m:rPr>
                  <m:sty m:val="p"/>
                </m:rPr>
                <m:t>−</m:t>
              </m:r>
              <m:r>
                <m:rPr>
                  <m:sty m:val="p"/>
                </m:rPr>
                <m:t>x</m:t>
              </m:r>
              <m:sSup>
                <m:e>
                  <m:r>
                    <m:rPr>
                      <m:sty m:val="p"/>
                    </m:rPr>
                    <m:t>)</m:t>
                  </m:r>
                </m:e>
                <m:sup>
                  <m:r>
                    <m:rPr>
                      <m:sty m:val="p"/>
                    </m:rPr>
                    <m:t>β</m:t>
                  </m:r>
                  <m:r>
                    <m:rPr>
                      <m:sty m:val="p"/>
                    </m:rPr>
                    <m:t>−</m:t>
                  </m:r>
                  <m:r>
                    <m:rPr>
                      <m:sty m:val="p"/>
                    </m:rPr>
                    <m:t>1</m:t>
                  </m:r>
                </m:sup>
              </m:sSup>
            </m:num>
            <m:den>
              <m:r>
                <m:rPr>
                  <m:sty m:val="p"/>
                </m:rPr>
                <m:t>B</m:t>
              </m:r>
              <m:r>
                <m:rPr>
                  <m:sty m:val="p"/>
                </m:rPr>
                <m:t>(</m:t>
              </m:r>
              <m:r>
                <m:rPr>
                  <m:sty m:val="p"/>
                </m:rPr>
                <m:t>α</m:t>
              </m:r>
              <m:r>
                <m:rPr>
                  <m:sty m:val="p"/>
                </m:rPr>
                <m:t>,</m:t>
              </m:r>
              <m:r>
                <m:rPr>
                  <m:sty m:val="p"/>
                </m:rPr>
                <m:t>β</m:t>
              </m:r>
              <m:r>
                <m:rPr>
                  <m:sty m:val="p"/>
                </m:rPr>
                <m:t>)</m:t>
              </m:r>
            </m:den>
          </m:f>
        </m:oMath>
      </m:oMathPara>
    </w:p>
    <w:p>
      <w:r>
        <w:t xml:space="preserve">with shape parameters</w:t>
      </w:r>
      <w:r>
        <w:t xml:space="preserve"> </w:t>
      </w:r>
      <m:oMath>
        <m:r>
          <m:rPr>
            <m:sty m:val="p"/>
          </m:rPr>
          <m:t>α</m:t>
        </m:r>
      </m:oMath>
      <w:r>
        <w:t xml:space="preserve"> </w:t>
      </w:r>
      <w:r>
        <w:t xml:space="preserve">and</w:t>
      </w:r>
      <w:r>
        <w:t xml:space="preserve"> </w:t>
      </w:r>
      <m:oMath>
        <m:r>
          <m:rPr>
            <m:sty m:val="p"/>
          </m:rPr>
          <m:t>β</m:t>
        </m:r>
      </m:oMath>
      <w:r>
        <w:t xml:space="preserve"> </w:t>
      </w:r>
      <w:r>
        <w:t xml:space="preserve">and where</w:t>
      </w:r>
      <w:r>
        <w:t xml:space="preserve"> </w:t>
      </w:r>
      <m:oMath>
        <m:r>
          <m:rPr>
            <m:sty m:val="p"/>
          </m:rPr>
          <m:t>x</m:t>
        </m:r>
      </m:oMath>
      <w:r>
        <w:t xml:space="preserve"> </w:t>
      </w:r>
      <w:r>
        <w:t xml:space="preserve">represents an observed value generated by the distribution and</w:t>
      </w:r>
      <w:r>
        <w:t xml:space="preserve"> </w:t>
      </w:r>
      <m:oMath>
        <m:r>
          <m:rPr>
            <m:sty m:val="p"/>
          </m:rPr>
          <m:t>B</m:t>
        </m:r>
        <m:r>
          <m:rPr>
            <m:sty m:val="p"/>
          </m:rPr>
          <m:t>(</m:t>
        </m:r>
        <m:r>
          <m:rPr>
            <m:sty m:val="p"/>
          </m:rPr>
          <m:t>)</m:t>
        </m:r>
      </m:oMath>
      <w:r>
        <w:t xml:space="preserve"> </w:t>
      </w:r>
      <w:r>
        <w:t xml:space="preserve">is the Beta function</w:t>
      </w:r>
      <w:r>
        <w:t xml:space="preserve"> </w:t>
      </w:r>
      <w:r>
        <w:rPr>
          <w:b/>
        </w:rPr>
        <w:t xml:space="preserve">{{CITE_ME}}</w:t>
      </w:r>
      <w:r>
        <w:t xml:space="preserve">.</w:t>
      </w:r>
    </w:p>
    <w:p>
      <w:r>
        <w:t xml:space="preserve">The Beta’s cumulative distribution function (CDF)</w:t>
      </w:r>
    </w:p>
    <w:p>
      <m:oMathPara>
        <m:oMathParaPr>
          <m:jc m:val="center"/>
        </m:oMathParaPr>
        <m:oMath>
          <m:r>
            <m:rPr>
              <m:sty m:val="p"/>
            </m:rPr>
            <m:t>F</m:t>
          </m:r>
          <m:r>
            <m:rPr>
              <m:sty m:val="p"/>
            </m:rPr>
            <m:t>(</m:t>
          </m:r>
          <m:r>
            <m:rPr>
              <m:sty m:val="p"/>
            </m:rPr>
            <m:t>x</m:t>
          </m:r>
          <m:r>
            <m:rPr>
              <m:sty m:val="p"/>
            </m:rPr>
            <m:t>;</m:t>
          </m:r>
          <m:r>
            <m:rPr>
              <m:sty m:val="p"/>
            </m:rPr>
            <m:t>α</m:t>
          </m:r>
          <m:r>
            <m:rPr>
              <m:sty m:val="p"/>
            </m:rPr>
            <m:t>,</m:t>
          </m:r>
          <m:r>
            <m:rPr>
              <m:sty m:val="p"/>
            </m:rPr>
            <m:t>β</m:t>
          </m:r>
          <m:r>
            <m:rPr>
              <m:sty m:val="p"/>
            </m:rPr>
            <m:t>)</m:t>
          </m:r>
          <m:r>
            <m:rPr>
              <m:sty m:val="p"/>
            </m:rPr>
            <m:t>=</m:t>
          </m:r>
          <m:f>
            <m:fPr>
              <m:type m:val="bar"/>
            </m:fPr>
            <m:num>
              <m:r>
                <m:rPr>
                  <m:sty m:val="p"/>
                </m:rPr>
                <m:t>B</m:t>
              </m:r>
              <m:r>
                <m:rPr>
                  <m:sty m:val="p"/>
                </m:rPr>
                <m:t>(</m:t>
              </m:r>
              <m:r>
                <m:rPr>
                  <m:sty m:val="p"/>
                </m:rPr>
                <m:t>x</m:t>
              </m:r>
              <m:r>
                <m:rPr>
                  <m:sty m:val="p"/>
                </m:rPr>
                <m:t>;</m:t>
              </m:r>
              <m:r>
                <m:rPr>
                  <m:sty m:val="p"/>
                </m:rPr>
                <m:t>α</m:t>
              </m:r>
              <m:r>
                <m:rPr>
                  <m:sty m:val="p"/>
                </m:rPr>
                <m:t>,</m:t>
              </m:r>
              <m:r>
                <m:rPr>
                  <m:sty m:val="p"/>
                </m:rPr>
                <m:t>β</m:t>
              </m:r>
              <m:r>
                <m:rPr>
                  <m:sty m:val="p"/>
                </m:rPr>
                <m:t>)</m:t>
              </m:r>
            </m:num>
            <m:den>
              <m:r>
                <m:rPr>
                  <m:sty m:val="p"/>
                </m:rPr>
                <m:t>B</m:t>
              </m:r>
              <m:r>
                <m:rPr>
                  <m:sty m:val="p"/>
                </m:rPr>
                <m:t>(</m:t>
              </m:r>
              <m:r>
                <m:rPr>
                  <m:sty m:val="p"/>
                </m:rPr>
                <m:t>α</m:t>
              </m:r>
              <m:r>
                <m:rPr>
                  <m:sty m:val="p"/>
                </m:rPr>
                <m:t>,</m:t>
              </m:r>
              <m:r>
                <m:rPr>
                  <m:sty m:val="p"/>
                </m:rPr>
                <m:t>β</m:t>
              </m:r>
              <m:r>
                <m:rPr>
                  <m:sty m:val="p"/>
                </m:rPr>
                <m:t>)</m:t>
              </m:r>
            </m:den>
          </m:f>
        </m:oMath>
      </m:oMathPara>
    </w:p>
    <w:p>
      <w:r>
        <w:t xml:space="preserve">can be used to describe the probability that a binned SNP-pair will be observed to have an</w:t>
      </w:r>
      <w:r>
        <w:t xml:space="preserve"> </w:t>
      </w:r>
      <m:oMath>
        <m:sSup>
          <m:e>
            <m:r>
              <m:rPr>
                <m:sty m:val="p"/>
              </m:rPr>
              <m:t>r</m:t>
            </m:r>
          </m:e>
          <m:sup>
            <m:r>
              <m:rPr>
                <m:sty m:val="p"/>
              </m:rPr>
              <m:t>2</m:t>
            </m:r>
          </m:sup>
        </m:sSup>
        <m:r>
          <m:rPr>
            <m:sty m:val="p"/>
          </m:rPr>
          <m:t>≤</m:t>
        </m:r>
        <m:r>
          <m:rPr>
            <m:sty m:val="p"/>
          </m:rPr>
          <m:t>x</m:t>
        </m:r>
      </m:oMath>
      <w:r>
        <w:t xml:space="preserve">. It follows that</w:t>
      </w:r>
      <w:r>
        <w:t xml:space="preserve"> </w:t>
      </w:r>
      <m:oMath>
        <m:r>
          <m:rPr>
            <m:sty m:val="p"/>
          </m:rPr>
          <m:t>1</m:t>
        </m:r>
        <m:r>
          <m:rPr>
            <m:sty m:val="p"/>
          </m:rPr>
          <m:t>−</m:t>
        </m:r>
        <m:r>
          <m:rPr>
            <m:sty m:val="p"/>
          </m:rPr>
          <m:t>C</m:t>
        </m:r>
        <m:r>
          <m:rPr>
            <m:sty m:val="p"/>
          </m:rPr>
          <m:t>D</m:t>
        </m:r>
        <m:r>
          <m:rPr>
            <m:sty m:val="p"/>
          </m:rPr>
          <m:t>F</m:t>
        </m:r>
      </m:oMath>
      <w:r>
        <w:t xml:space="preserve"> </w:t>
      </w:r>
      <w:r>
        <w:t xml:space="preserve">represents the probability of observing a more extreme value.</w:t>
      </w:r>
    </w:p>
    <w:p>
      <w:r>
        <w:t xml:space="preserve">For each set of binned</w:t>
      </w:r>
      <w:r>
        <w:t xml:space="preserve"> </w:t>
      </w:r>
      <m:oMath>
        <m:sSup>
          <m:e>
            <m:r>
              <m:rPr>
                <m:sty m:val="p"/>
              </m:rPr>
              <m:t>r</m:t>
            </m:r>
          </m:e>
          <m:sup>
            <m:r>
              <m:rPr>
                <m:sty m:val="p"/>
              </m:rPr>
              <m:t>2</m:t>
            </m:r>
          </m:sup>
        </m:sSup>
      </m:oMath>
      <w:r>
        <w:t xml:space="preserve"> </w:t>
      </w:r>
      <w:r>
        <w:t xml:space="preserve">values, the SNP-pairs deemed worthy of further investigation were defined as those where</w:t>
      </w:r>
      <w:r>
        <w:t xml:space="preserve"> </w:t>
      </w:r>
      <m:oMath>
        <m:r>
          <m:rPr>
            <m:sty m:val="p"/>
          </m:rPr>
          <m:t>1</m:t>
        </m:r>
        <m:r>
          <m:rPr>
            <m:sty m:val="p"/>
          </m:rPr>
          <m:t>−</m:t>
        </m:r>
        <m:r>
          <m:rPr>
            <m:sty m:val="p"/>
          </m:rPr>
          <m:t>C</m:t>
        </m:r>
        <m:r>
          <m:rPr>
            <m:sty m:val="p"/>
          </m:rPr>
          <m:t>D</m:t>
        </m:r>
        <m:r>
          <m:rPr>
            <m:sty m:val="p"/>
          </m:rPr>
          <m:t>F</m:t>
        </m:r>
        <m:r>
          <m:rPr>
            <m:sty m:val="p"/>
          </m:rPr>
          <m:t>≤</m:t>
        </m:r>
        <m:r>
          <m:rPr>
            <m:sty m:val="p"/>
          </m:rPr>
          <m:t>0</m:t>
        </m:r>
        <m:r>
          <m:rPr>
            <m:sty m:val="p"/>
          </m:rPr>
          <m:t>.</m:t>
        </m:r>
        <m:r>
          <m:rPr>
            <m:sty m:val="p"/>
          </m:rPr>
          <m:t>01</m:t>
        </m:r>
      </m:oMath>
      <w:r>
        <w:t xml:space="preserve"> </w:t>
      </w:r>
      <w:r>
        <w:t xml:space="preserve">after Benjamini-Hochberg (BH) correction for multiple testing</w:t>
      </w:r>
      <w:r>
        <w:t xml:space="preserve"> </w:t>
      </w:r>
      <w:r>
        <w:t xml:space="preserve">[8]</w:t>
      </w:r>
      <w:r>
        <w:t xml:space="preserve">.</w:t>
      </w:r>
    </w:p>
    <w:p>
      <w:pPr>
        <w:pStyle w:val="Heading3"/>
      </w:pPr>
      <w:bookmarkStart w:id="29" w:name="scaling-of-binned-r2-distributions"/>
      <w:bookmarkEnd w:id="29"/>
      <w:r>
        <w:t xml:space="preserve">Scaling of binned</w:t>
      </w:r>
      <w:r>
        <w:t xml:space="preserve"> </w:t>
      </w:r>
      <m:oMath>
        <m:sSup>
          <m:e>
            <m:r>
              <m:rPr>
                <m:sty m:val="p"/>
              </m:rPr>
              <m:t>r</m:t>
            </m:r>
          </m:e>
          <m:sup>
            <m:r>
              <m:rPr>
                <m:sty m:val="p"/>
              </m:rPr>
              <m:t>2</m:t>
            </m:r>
          </m:sup>
        </m:sSup>
      </m:oMath>
      <w:r>
        <w:t xml:space="preserve"> </w:t>
      </w:r>
      <w:r>
        <w:t xml:space="preserve">distributions</w:t>
      </w:r>
    </w:p>
    <w:p>
      <w:r>
        <w:t xml:space="preserve">The Beta distribution is bounded on the non-inclusive interval between 0 and 1. However, there are data in each bin that may have been assigned values of exactly 0 or 1. It is likely that these values are not truly 0 or 1 in the discrete binary since that a coin-flip is</w:t>
      </w:r>
      <w:r>
        <w:t xml:space="preserve"> </w:t>
      </w:r>
      <w:r>
        <w:rPr>
          <w:i/>
        </w:rPr>
        <w:t xml:space="preserve">either</w:t>
      </w:r>
      <w:r>
        <w:t xml:space="preserve"> </w:t>
      </w:r>
      <w:r>
        <w:t xml:space="preserve">heads or tails. Therefore, the all data for each bin were scaled according to the following scheme</w:t>
      </w:r>
    </w:p>
    <w:p>
      <m:oMathPara>
        <m:oMathParaPr>
          <m:jc m:val="center"/>
        </m:oMathParaPr>
        <m:oMath>
          <m:r>
            <m:rPr>
              <m:sty m:val="p"/>
            </m:rPr>
            <m:t>(</m:t>
          </m:r>
          <m:r>
            <m:rPr>
              <m:sty m:val="p"/>
            </m:rPr>
            <m:t>(</m:t>
          </m:r>
          <m:sSub>
            <m:e>
              <m:r>
                <m:rPr>
                  <m:sty m:val="p"/>
                </m:rPr>
                <m:t>x</m:t>
              </m:r>
            </m:e>
            <m:sub>
              <m:r>
                <m:rPr>
                  <m:sty m:val="p"/>
                </m:rPr>
                <m:t>i</m:t>
              </m:r>
            </m:sub>
          </m:sSub>
          <m:r>
            <m:rPr>
              <m:sty m:val="p"/>
            </m:rPr>
            <m:t>−</m:t>
          </m:r>
          <m:r>
            <m:rPr>
              <m:sty m:val="p"/>
            </m:rPr>
            <m:t>0</m:t>
          </m:r>
          <m:r>
            <m:rPr>
              <m:sty m:val="p"/>
            </m:rPr>
            <m:t>.</m:t>
          </m:r>
          <m:r>
            <m:rPr>
              <m:sty m:val="p"/>
            </m:rPr>
            <m:t>5</m:t>
          </m:r>
          <m:r>
            <m:rPr>
              <m:sty m:val="p"/>
            </m:rPr>
            <m:t>)</m:t>
          </m:r>
          <m:r>
            <m:rPr>
              <m:sty m:val="p"/>
            </m:rPr>
            <m:t>⋅</m:t>
          </m:r>
          <m:r>
            <m:rPr>
              <m:sty m:val="p"/>
            </m:rPr>
            <m:t>θ</m:t>
          </m:r>
          <m:r>
            <m:rPr>
              <m:sty m:val="p"/>
            </m:rPr>
            <m:t>)</m:t>
          </m:r>
          <m:r>
            <m:rPr>
              <m:sty m:val="p"/>
            </m:rPr>
            <m:t>+</m:t>
          </m:r>
          <m:r>
            <m:rPr>
              <m:sty m:val="p"/>
            </m:rPr>
            <m:t>0</m:t>
          </m:r>
          <m:r>
            <m:rPr>
              <m:sty m:val="p"/>
            </m:rPr>
            <m:t>.</m:t>
          </m:r>
          <m:r>
            <m:rPr>
              <m:sty m:val="p"/>
            </m:rPr>
            <m:t>5</m:t>
          </m:r>
        </m:oMath>
      </m:oMathPara>
    </w:p>
    <w:p>
      <w:r>
        <w:t xml:space="preserve">in order to symmetrically shrink the distribution of values to fit within the open interval</w:t>
      </w:r>
      <w:r>
        <w:t xml:space="preserve"> </w:t>
      </w:r>
      <m:oMath>
        <m:r>
          <m:rPr>
            <m:sty m:val="p"/>
          </m:rPr>
          <m:t>(</m:t>
        </m:r>
        <m:r>
          <m:rPr>
            <m:sty m:val="p"/>
          </m:rPr>
          <m:t>0</m:t>
        </m:r>
        <m:r>
          <m:rPr>
            <m:sty m:val="p"/>
          </m:rPr>
          <m:t>,</m:t>
        </m:r>
        <m:r>
          <m:rPr>
            <m:sty m:val="p"/>
          </m:rPr>
          <m:t>1</m:t>
        </m:r>
        <m:r>
          <m:rPr>
            <m:sty m:val="p"/>
          </m:rPr>
          <m:t>)</m:t>
        </m:r>
      </m:oMath>
      <w:r>
        <w:t xml:space="preserve">. In the scheme above, let</w:t>
      </w:r>
      <w:r>
        <w:t xml:space="preserve"> </w:t>
      </w:r>
      <m:oMath>
        <m:sSub>
          <m:e>
            <m:r>
              <m:rPr>
                <m:sty m:val="p"/>
              </m:rPr>
              <m:t>x</m:t>
            </m:r>
          </m:e>
          <m:sub>
            <m:r>
              <m:rPr>
                <m:sty m:val="p"/>
              </m:rPr>
              <m:t>i</m:t>
            </m:r>
          </m:sub>
        </m:sSub>
      </m:oMath>
      <w:r>
        <w:t xml:space="preserve"> </w:t>
      </w:r>
      <w:r>
        <w:t xml:space="preserve">stand for the</w:t>
      </w:r>
      <w:r>
        <w:t xml:space="preserve"> </w:t>
      </w:r>
      <m:oMath>
        <m:sSup>
          <m:e>
            <m:r>
              <m:rPr>
                <m:sty m:val="p"/>
              </m:rPr>
              <m:t>r</m:t>
            </m:r>
          </m:e>
          <m:sup>
            <m:r>
              <m:rPr>
                <m:sty m:val="p"/>
              </m:rPr>
              <m:t>2</m:t>
            </m:r>
          </m:sup>
        </m:sSup>
      </m:oMath>
      <w:r>
        <w:t xml:space="preserve"> </w:t>
      </w:r>
      <w:r>
        <w:t xml:space="preserve">of each SNP-pair in an arbitrary bin set and</w:t>
      </w:r>
      <w:r>
        <w:t xml:space="preserve"> </w:t>
      </w:r>
      <m:oMath>
        <m:r>
          <m:rPr>
            <m:sty m:val="p"/>
          </m:rPr>
          <m:t>θ</m:t>
        </m:r>
      </m:oMath>
      <w:r>
        <w:t xml:space="preserve"> </w:t>
      </w:r>
      <w:r>
        <w:t xml:space="preserve">stand for the scaling factor. The relevant results in this paper used</w:t>
      </w:r>
      <w:r>
        <w:t xml:space="preserve"> </w:t>
      </w:r>
      <m:oMath>
        <m:r>
          <m:rPr>
            <m:sty m:val="p"/>
          </m:rPr>
          <m:t>θ</m:t>
        </m:r>
        <m:r>
          <m:rPr>
            <m:sty m:val="p"/>
          </m:rPr>
          <m:t>=</m:t>
        </m:r>
        <m:r>
          <m:rPr>
            <m:sty m:val="p"/>
          </m:rPr>
          <m:t>0</m:t>
        </m:r>
        <m:r>
          <m:rPr>
            <m:sty m:val="p"/>
          </m:rPr>
          <m:t>.</m:t>
        </m:r>
        <m:r>
          <m:rPr>
            <m:sty m:val="p"/>
          </m:rPr>
          <m:t>999</m:t>
        </m:r>
      </m:oMath>
      <w:r>
        <w:t xml:space="preserve">.</w:t>
      </w:r>
    </w:p>
    <w:p>
      <w:pPr>
        <w:pStyle w:val="Heading3"/>
      </w:pPr>
      <w:bookmarkStart w:id="30" w:name="bayesian-parameter-estimation-using-the-binned-r2-distributions"/>
      <w:bookmarkEnd w:id="30"/>
      <w:r>
        <w:t xml:space="preserve">Bayesian parameter estimation using the binned</w:t>
      </w:r>
      <w:r>
        <w:t xml:space="preserve"> </w:t>
      </w:r>
      <m:oMath>
        <m:sSup>
          <m:e>
            <m:r>
              <m:rPr>
                <m:sty m:val="p"/>
              </m:rPr>
              <m:t>r</m:t>
            </m:r>
          </m:e>
          <m:sup>
            <m:r>
              <m:rPr>
                <m:sty m:val="p"/>
              </m:rPr>
              <m:t>2</m:t>
            </m:r>
          </m:sup>
        </m:sSup>
      </m:oMath>
      <w:r>
        <w:t xml:space="preserve"> </w:t>
      </w:r>
      <w:r>
        <w:t xml:space="preserve">distributions</w:t>
      </w:r>
    </w:p>
    <w:p>
      <w:r>
        <w:t xml:space="preserve">In order to use the CDF of the Beta distribution to assign significances to each observed SNP-pair in a bin, it is necessary to learn the distribution parameters (</w:t>
      </w:r>
      <m:oMath>
        <m:r>
          <m:rPr>
            <m:sty m:val="p"/>
          </m:rPr>
          <m:t>α</m:t>
        </m:r>
      </m:oMath>
      <w:r>
        <w:t xml:space="preserve"> </w:t>
      </w:r>
      <w:r>
        <w:t xml:space="preserve">and</w:t>
      </w:r>
      <w:r>
        <w:t xml:space="preserve"> </w:t>
      </w:r>
      <m:oMath>
        <m:r>
          <m:rPr>
            <m:sty m:val="p"/>
          </m:rPr>
          <m:t>β</m:t>
        </m:r>
      </m:oMath>
      <w:r>
        <w:t xml:space="preserve">) for each bin given the specific data in each bin. For this we used custom python code that made heavy use of the following third-party data analysis modules: Pandas</w:t>
      </w:r>
      <w:r>
        <w:t xml:space="preserve"> </w:t>
      </w:r>
      <w:r>
        <w:t xml:space="preserve">[9]</w:t>
      </w:r>
      <w:r>
        <w:t xml:space="preserve">, NumPy</w:t>
      </w:r>
      <w:r>
        <w:t xml:space="preserve"> </w:t>
      </w:r>
      <w:r>
        <w:t xml:space="preserve">[10]</w:t>
      </w:r>
      <w:r>
        <w:t xml:space="preserve">, SciPy</w:t>
      </w:r>
      <w:r>
        <w:t xml:space="preserve"> </w:t>
      </w:r>
      <w:r>
        <w:t xml:space="preserve">[11]</w:t>
      </w:r>
      <w:r>
        <w:t xml:space="preserve">, pyMC</w:t>
      </w:r>
      <w:r>
        <w:t xml:space="preserve"> </w:t>
      </w:r>
      <w:r>
        <w:t xml:space="preserve">[12]</w:t>
      </w:r>
      <w:r>
        <w:t xml:space="preserve">, and StatsModels</w:t>
      </w:r>
      <w:r>
        <w:t xml:space="preserve"> </w:t>
      </w:r>
      <w:r>
        <w:t xml:space="preserve">[13]</w:t>
      </w:r>
      <w:r>
        <w:t xml:space="preserve">.</w:t>
      </w:r>
    </w:p>
    <w:p>
      <w:r>
        <w:t xml:space="preserve">We used pyMC to build the model of the Beta distribution and use it to exploit the bin-specific data to estimate the bin-specific values for the</w:t>
      </w:r>
      <w:r>
        <w:t xml:space="preserve"> </w:t>
      </w:r>
      <m:oMath>
        <m:r>
          <m:rPr>
            <m:sty m:val="p"/>
          </m:rPr>
          <m:t>α</m:t>
        </m:r>
      </m:oMath>
      <w:r>
        <w:t xml:space="preserve"> </w:t>
      </w:r>
      <w:r>
        <w:t xml:space="preserve">and</w:t>
      </w:r>
      <w:r>
        <w:t xml:space="preserve"> </w:t>
      </w:r>
      <m:oMath>
        <m:r>
          <m:rPr>
            <m:sty m:val="p"/>
          </m:rPr>
          <m:t>β</m:t>
        </m:r>
      </m:oMath>
      <w:r>
        <w:t xml:space="preserve"> </w:t>
      </w:r>
      <w:r>
        <w:t xml:space="preserve">parameters of the model [Figure fig_betamod]. The values of</w:t>
      </w:r>
      <w:r>
        <w:t xml:space="preserve"> </w:t>
      </w:r>
      <m:oMath>
        <m:r>
          <m:rPr>
            <m:sty m:val="p"/>
          </m:rPr>
          <m:t>α</m:t>
        </m:r>
      </m:oMath>
      <w:r>
        <w:t xml:space="preserve"> </w:t>
      </w:r>
      <w:r>
        <w:t xml:space="preserve">and</w:t>
      </w:r>
      <w:r>
        <w:t xml:space="preserve"> </w:t>
      </w:r>
      <m:oMath>
        <m:r>
          <m:rPr>
            <m:sty m:val="p"/>
          </m:rPr>
          <m:t>β</m:t>
        </m:r>
      </m:oMath>
      <w:r>
        <w:t xml:space="preserve"> </w:t>
      </w:r>
      <w:r>
        <w:t xml:space="preserve">were modeled with separate Uniform prior distributions from 0.01 to 10. This model topology was used to create pyMC</w:t>
      </w:r>
      <w:r>
        <w:t xml:space="preserve"> </w:t>
      </w:r>
      <w:r>
        <w:t xml:space="preserve">“</w:t>
      </w:r>
      <w:r>
        <w:t xml:space="preserve">model</w:t>
      </w:r>
      <w:r>
        <w:t xml:space="preserve">”</w:t>
      </w:r>
      <w:r>
        <w:t xml:space="preserve"> </w:t>
      </w:r>
      <w:r>
        <w:t xml:space="preserve">objects and initialized with the</w:t>
      </w:r>
      <w:r>
        <w:t xml:space="preserve"> </w:t>
      </w:r>
      <m:oMath>
        <m:sSup>
          <m:e>
            <m:r>
              <m:rPr>
                <m:sty m:val="p"/>
              </m:rPr>
              <m:t>r</m:t>
            </m:r>
          </m:e>
          <m:sup>
            <m:r>
              <m:rPr>
                <m:sty m:val="p"/>
              </m:rPr>
              <m:t>2</m:t>
            </m:r>
          </m:sup>
        </m:sSup>
      </m:oMath>
      <w:r>
        <w:t xml:space="preserve"> </w:t>
      </w:r>
      <w:r>
        <w:t xml:space="preserve">data from each bin. The parameters of each Beta distribution were then estimated by</w:t>
      </w:r>
      <w:r>
        <w:t xml:space="preserve"> </w:t>
      </w:r>
      <w:r>
        <w:rPr>
          <w:i/>
        </w:rPr>
        <w:t xml:space="preserve">maximum a posteriori</w:t>
      </w:r>
      <w:r>
        <w:t xml:space="preserve"> </w:t>
      </w:r>
      <w:r>
        <w:t xml:space="preserve">(MAP) and used to calculate the</w:t>
      </w:r>
      <w:r>
        <w:t xml:space="preserve"> </w:t>
      </w:r>
      <m:oMath>
        <m:r>
          <m:rPr>
            <m:sty m:val="p"/>
          </m:rPr>
          <m:t>1</m:t>
        </m:r>
        <m:r>
          <m:rPr>
            <m:sty m:val="p"/>
          </m:rPr>
          <m:t>−</m:t>
        </m:r>
        <m:r>
          <m:rPr>
            <m:sty m:val="p"/>
          </m:rPr>
          <m:t>C</m:t>
        </m:r>
        <m:r>
          <m:rPr>
            <m:sty m:val="p"/>
          </m:rPr>
          <m:t>D</m:t>
        </m:r>
        <m:r>
          <m:rPr>
            <m:sty m:val="p"/>
          </m:rPr>
          <m:t>F</m:t>
        </m:r>
      </m:oMath>
      <w:r>
        <w:t xml:space="preserve"> </w:t>
      </w:r>
      <w:r>
        <w:t xml:space="preserve">for each SNP-pair in each bin</w:t>
      </w:r>
      <w:r>
        <w:t xml:space="preserve"> </w:t>
      </w:r>
      <w:r>
        <w:t xml:space="preserve">[10,11]</w:t>
      </w:r>
      <w:r>
        <w:t xml:space="preserve">. The</w:t>
      </w:r>
      <w:r>
        <w:t xml:space="preserve"> </w:t>
      </w:r>
      <m:oMath>
        <m:r>
          <m:rPr>
            <m:sty m:val="p"/>
          </m:rPr>
          <m:t>1</m:t>
        </m:r>
        <m:r>
          <m:rPr>
            <m:sty m:val="p"/>
          </m:rPr>
          <m:t>−</m:t>
        </m:r>
        <m:r>
          <m:rPr>
            <m:sty m:val="p"/>
          </m:rPr>
          <m:t>C</m:t>
        </m:r>
        <m:r>
          <m:rPr>
            <m:sty m:val="p"/>
          </m:rPr>
          <m:t>D</m:t>
        </m:r>
        <m:r>
          <m:rPr>
            <m:sty m:val="p"/>
          </m:rPr>
          <m:t>F</m:t>
        </m:r>
      </m:oMath>
      <w:r>
        <w:t xml:space="preserve"> </w:t>
      </w:r>
      <w:r>
        <w:t xml:space="preserve">values were then BH corrected by bin and filtered with a threshold of</w:t>
      </w:r>
      <w:r>
        <w:t xml:space="preserve"> </w:t>
      </w:r>
      <m:oMath>
        <m:r>
          <m:rPr>
            <m:sty m:val="p"/>
          </m:rPr>
          <m:t>(</m:t>
        </m:r>
        <m:r>
          <m:rPr>
            <m:sty m:val="p"/>
          </m:rPr>
          <m:t>1</m:t>
        </m:r>
        <m:r>
          <m:rPr>
            <m:sty m:val="p"/>
          </m:rPr>
          <m:t>−</m:t>
        </m:r>
        <m:r>
          <m:rPr>
            <m:sty m:val="p"/>
          </m:rPr>
          <m:t>C</m:t>
        </m:r>
        <m:r>
          <m:rPr>
            <m:sty m:val="p"/>
          </m:rPr>
          <m:t>D</m:t>
        </m:r>
        <m:r>
          <m:rPr>
            <m:sty m:val="p"/>
          </m:rPr>
          <m:t>F</m:t>
        </m:r>
        <m:sSub>
          <m:e>
            <m:r>
              <m:rPr>
                <m:sty m:val="p"/>
              </m:rPr>
              <m:t>)</m:t>
            </m:r>
          </m:e>
          <m:sub>
            <m:r>
              <m:rPr>
                <m:sty m:val="p"/>
              </m:rPr>
              <m:t>B</m:t>
            </m:r>
            <m:r>
              <m:rPr>
                <m:sty m:val="p"/>
              </m:rPr>
              <m:t>H</m:t>
            </m:r>
          </m:sub>
        </m:sSub>
        <m:r>
          <m:rPr>
            <m:sty m:val="p"/>
          </m:rPr>
          <m:t>≤</m:t>
        </m:r>
        <m:r>
          <m:rPr>
            <m:sty m:val="p"/>
          </m:rPr>
          <m:t>0</m:t>
        </m:r>
        <m:r>
          <m:rPr>
            <m:sty m:val="p"/>
          </m:rPr>
          <m:t>.</m:t>
        </m:r>
        <m:r>
          <m:rPr>
            <m:sty m:val="p"/>
          </m:rPr>
          <m:t>01</m:t>
        </m:r>
      </m:oMath>
      <w:r>
        <w:t xml:space="preserve"> </w:t>
      </w:r>
      <w:r>
        <w:t xml:space="preserve">using statsmodels</w:t>
      </w:r>
      <w:r>
        <w:t xml:space="preserve"> </w:t>
      </w:r>
      <w:r>
        <w:t xml:space="preserve">[8]</w:t>
      </w:r>
      <w:r>
        <w:t xml:space="preserve">.</w:t>
      </w:r>
    </w:p>
    <w:p>
      <w:r>
        <w:drawing>
          <wp:inline>
            <wp:extent cx="3517900" cy="1803400"/>
            <wp:effectExtent b="0" l="0" r="0" t="0"/>
            <wp:docPr descr="" id="1" name="Picture"/>
            <a:graphic>
              <a:graphicData uri="http://schemas.openxmlformats.org/drawingml/2006/picture">
                <pic:pic>
                  <pic:nvPicPr>
                    <pic:cNvPr descr="../figures/bin_MAP_model.png" id="0" name="Picture"/>
                    <pic:cNvPicPr>
                      <a:picLocks noChangeArrowheads="1" noChangeAspect="1"/>
                    </pic:cNvPicPr>
                  </pic:nvPicPr>
                  <pic:blipFill>
                    <a:blip r:embed="rId31"/>
                    <a:stretch>
                      <a:fillRect/>
                    </a:stretch>
                  </pic:blipFill>
                  <pic:spPr bwMode="auto">
                    <a:xfrm>
                      <a:off x="0" y="0"/>
                      <a:ext cx="3517900" cy="1803400"/>
                    </a:xfrm>
                    <a:prstGeom prst="rect">
                      <a:avLst/>
                    </a:prstGeom>
                    <a:noFill/>
                    <a:ln w="9525">
                      <a:noFill/>
                      <a:headEnd/>
                      <a:tailEnd/>
                    </a:ln>
                  </pic:spPr>
                </pic:pic>
              </a:graphicData>
            </a:graphic>
          </wp:inline>
        </w:drawing>
      </w:r>
    </w:p>
    <w:p>
      <w:pPr>
        <w:pStyle w:val="ImageCaption"/>
      </w:pPr>
      <w:r>
        <w:rPr>
          <w:b/>
        </w:rPr>
        <w:t xml:space="preserve">[fig_betamod]Network representation of the LD Beta model:</w:t>
      </w:r>
      <w:r>
        <w:t xml:space="preserve"> </w:t>
      </w:r>
      <w:r>
        <w:t xml:space="preserve">Ovals represent modeled probability distributions. Circles represent learned parameters. Grey shading indicates use of observed data.</w:t>
      </w:r>
      <w:r>
        <w:t xml:space="preserve"> </w:t>
      </w:r>
    </w:p>
    <w:p/>
    <w:p>
      <w:pPr>
        <w:pStyle w:val="Heading1"/>
      </w:pPr>
      <w:bookmarkStart w:id="32" w:name="bibliography"/>
      <w:bookmarkEnd w:id="32"/>
      <w:r>
        <w:t xml:space="preserve">Bibliography</w:t>
      </w:r>
    </w:p>
    <w:p>
      <w:pPr>
        <w:pStyle w:val="Bibliography"/>
      </w:pPr>
      <w:r>
        <w:t xml:space="preserve">1. Giraldo-Calderon GI, Emrich SJ, MacCallum RM, Maslen G, Dialynas E, Topalis P, et al. VectorBase: an updated bioinformatics resource for invertebrate vectors and other organisms related with human diseases. Nucleic Acids Research. 2014;43: D707–D713. doi:</w:t>
      </w:r>
      <w:hyperlink r:id="rId33">
        <w:r>
          <w:rPr>
            <w:rStyle w:val="Link"/>
          </w:rPr>
          <w:t xml:space="preserve">10.1093/nar/gku1117</w:t>
        </w:r>
      </w:hyperlink>
    </w:p>
    <w:p>
      <w:pPr>
        <w:pStyle w:val="Bibliography"/>
      </w:pPr>
      <w:r>
        <w:t xml:space="preserve">2. Boeckmann B, Blatter M-C, Famiglietti L, Hinz U, Lane L, Roechert B, et al. Protein variety and functional diversity: Swiss-Prot annotation in its biological context. Comptes rendus biologies. 2005;328: 882–99. doi:</w:t>
      </w:r>
      <w:hyperlink r:id="rId34">
        <w:r>
          <w:rPr>
            <w:rStyle w:val="Link"/>
          </w:rPr>
          <w:t xml:space="preserve">10.1016/j.crvi.2005.06.001</w:t>
        </w:r>
      </w:hyperlink>
    </w:p>
    <w:p>
      <w:pPr>
        <w:pStyle w:val="Bibliography"/>
      </w:pPr>
      <w:r>
        <w:t xml:space="preserve">3. Finn RD, Bateman A, Clements J, Coggill P, Eberhardt RY, Eddy SR, et al. Pfam: the protein families database. Nucleic acids research. 2014;42: D222–30. doi:</w:t>
      </w:r>
      <w:hyperlink r:id="rId35">
        <w:r>
          <w:rPr>
            <w:rStyle w:val="Link"/>
          </w:rPr>
          <w:t xml:space="preserve">10.1093/nar/gkt1223</w:t>
        </w:r>
      </w:hyperlink>
    </w:p>
    <w:p>
      <w:pPr>
        <w:pStyle w:val="Bibliography"/>
      </w:pPr>
      <w:r>
        <w:t xml:space="preserve">4. Radivojac P, Clark WT, Oron TR, Schnoes AM, Wittkop T, Sokolov A, et al. A large-scale evaluation of computational protein function prediction. Nature methods. Nature Publishing Group, a division of Macmillan Publishers Limited. All Rights Reserved. 2013;10: 221–7. doi:</w:t>
      </w:r>
      <w:hyperlink r:id="rId36">
        <w:r>
          <w:rPr>
            <w:rStyle w:val="Link"/>
          </w:rPr>
          <w:t xml:space="preserve">10.1038/nmeth.2340</w:t>
        </w:r>
      </w:hyperlink>
    </w:p>
    <w:p>
      <w:pPr>
        <w:pStyle w:val="Bibliography"/>
      </w:pPr>
      <w:r>
        <w:t xml:space="preserve">5. Falda M, Toppo S, Pescarolo A, Lavezzo E,</w:t>
      </w:r>
      <w:r>
        <w:t xml:space="preserve"> </w:t>
      </w:r>
      <w:r>
        <w:t xml:space="preserve">Di Camillo</w:t>
      </w:r>
      <w:r>
        <w:t xml:space="preserve"> </w:t>
      </w:r>
      <w:r>
        <w:t xml:space="preserve">B, Facchinetti A, et al. Argot2: a large scale function prediction tool relying on semantic similarity of weighted Gene Ontology terms. BMC bioinformatics. BioMed Central Ltd; 2012;13 Suppl 4: S14. doi:</w:t>
      </w:r>
      <w:hyperlink r:id="rId37">
        <w:r>
          <w:rPr>
            <w:rStyle w:val="Link"/>
          </w:rPr>
          <w:t xml:space="preserve">10.1186/1471-2105-13-S4-S14</w:t>
        </w:r>
      </w:hyperlink>
    </w:p>
    <w:p>
      <w:pPr>
        <w:pStyle w:val="Bibliography"/>
      </w:pPr>
      <w:r>
        <w:t xml:space="preserve">6. Gillis J, Pavlidis P. Characterizing the state of the art in the computational assignment of gene function: lessons from the first critical assessment of functional annotation (CAFA). BMC Bioinformatics. BioMed Central Ltd; 2013;14: S15. doi:</w:t>
      </w:r>
      <w:hyperlink r:id="rId38">
        <w:r>
          <w:rPr>
            <w:rStyle w:val="Link"/>
          </w:rPr>
          <w:t xml:space="preserve">10.1186/1471-2105-14-S3-S15</w:t>
        </w:r>
      </w:hyperlink>
    </w:p>
    <w:p>
      <w:pPr>
        <w:pStyle w:val="Bibliography"/>
      </w:pPr>
      <w:r>
        <w:t xml:space="preserve">7. Chang CC, Chow CC, Tellier LC, Vattikuti S, Purcell SM, Lee JJ. Second-generation PLINK: rising to the challenge of larger and richer datasets. GigaScience. BioMed Central Ltd; 2015;4: 7. doi:</w:t>
      </w:r>
      <w:hyperlink r:id="rId39">
        <w:r>
          <w:rPr>
            <w:rStyle w:val="Link"/>
          </w:rPr>
          <w:t xml:space="preserve">10.1186/s13742-015-0047-8</w:t>
        </w:r>
      </w:hyperlink>
    </w:p>
    <w:p>
      <w:pPr>
        <w:pStyle w:val="Bibliography"/>
      </w:pPr>
      <w:r>
        <w:t xml:space="preserve">8. Benjamini Y, Hochberg Y. Controlling the False Discovery Rate: A Practical and Powerful Approach to Multiple Testing. Journal of the Royal Statistical Society Series B (Methodological). Wiley for the Royal Statistical Society; 1995;57: pp. 289–300. Available:</w:t>
      </w:r>
      <w:r>
        <w:t xml:space="preserve"> </w:t>
      </w:r>
      <w:hyperlink r:id="rId40">
        <w:r>
          <w:rPr>
            <w:rStyle w:val="Link"/>
          </w:rPr>
          <w:t xml:space="preserve">http://www.jstor.org/stable/2346101</w:t>
        </w:r>
      </w:hyperlink>
    </w:p>
    <w:p>
      <w:pPr>
        <w:pStyle w:val="Bibliography"/>
      </w:pPr>
      <w:r>
        <w:t xml:space="preserve">9. McKinney W. Data Structures for Statistical Computing in Python. In: Walt S van der, Millman J, editors. Proceedings of the 9th python in science conference. 2010. pp. 51–56.</w:t>
      </w:r>
      <w:r>
        <w:t xml:space="preserve"> </w:t>
      </w:r>
    </w:p>
    <w:p>
      <w:pPr>
        <w:pStyle w:val="Bibliography"/>
      </w:pPr>
      <w:r>
        <w:t xml:space="preserve">10.</w:t>
      </w:r>
      <w:r>
        <w:t xml:space="preserve"> </w:t>
      </w:r>
      <w:r>
        <w:t xml:space="preserve">Van Der Walt</w:t>
      </w:r>
      <w:r>
        <w:t xml:space="preserve"> </w:t>
      </w:r>
      <w:r>
        <w:t xml:space="preserve">S, Colbert SC, Varoquaux G. The NumPy array: A structure for efficient numerical computation. Computing in Science and Engineering. 2011;13: 22–30. doi:</w:t>
      </w:r>
      <w:hyperlink r:id="rId41">
        <w:r>
          <w:rPr>
            <w:rStyle w:val="Link"/>
          </w:rPr>
          <w:t xml:space="preserve">10.1109/MCSE.2011.37</w:t>
        </w:r>
      </w:hyperlink>
    </w:p>
    <w:p>
      <w:pPr>
        <w:pStyle w:val="Bibliography"/>
      </w:pPr>
      <w:r>
        <w:t xml:space="preserve">11. Jones E, Oliphant T, Peterson P, Others. SciPy: Open source scientific tools for Python [Internet]. 2001. Available:</w:t>
      </w:r>
      <w:r>
        <w:t xml:space="preserve"> </w:t>
      </w:r>
      <w:hyperlink r:id="rId42">
        <w:r>
          <w:rPr>
            <w:rStyle w:val="Link"/>
          </w:rPr>
          <w:t xml:space="preserve">http://www.scipy.org/</w:t>
        </w:r>
      </w:hyperlink>
    </w:p>
    <w:p>
      <w:pPr>
        <w:pStyle w:val="Bibliography"/>
      </w:pPr>
      <w:r>
        <w:t xml:space="preserve">12. Patil A, Huard D, Fonnesbeck CJ. PyMC: Bayesian Stochastic Modelling in Python. Journal of statistical software. 2010;35: 1–81. Available:</w:t>
      </w:r>
      <w:r>
        <w:t xml:space="preserve"> </w:t>
      </w:r>
      <w:hyperlink r:id="rId43">
        <w:r>
          <w:rPr>
            <w:rStyle w:val="Link"/>
          </w:rPr>
          <w:t xml:space="preserve">http://www.pubmedcentral.nih.gov/articlerender.fcgi?artid=3097064\&amp;tool=pmcentrez\&amp;rendertype=abstract</w:t>
        </w:r>
      </w:hyperlink>
    </w:p>
    <w:p>
      <w:pPr>
        <w:pStyle w:val="Bibliography"/>
      </w:pPr>
      <w:r>
        <w:t xml:space="preserve">13. Statsmodels-development-team. StatsModels: Statistics in Python (v0.6.1) [Internet]. Available:</w:t>
      </w:r>
      <w:r>
        <w:t xml:space="preserve"> </w:t>
      </w:r>
      <w:hyperlink r:id="rId44">
        <w:r>
          <w:rPr>
            <w:rStyle w:val="Link"/>
          </w:rPr>
          <w:t xml:space="preserve">http://statsmodels.sourceforge.net/stable/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7ed3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34" Target="http://dx.doi.org/10.1016/j.crvi.2005.06.001" TargetMode="External" /><Relationship Type="http://schemas.openxmlformats.org/officeDocument/2006/relationships/hyperlink" Id="rId36" Target="http://dx.doi.org/10.1038/nmeth.2340" TargetMode="External" /><Relationship Type="http://schemas.openxmlformats.org/officeDocument/2006/relationships/hyperlink" Id="rId35" Target="http://dx.doi.org/10.1093/nar/gkt1223" TargetMode="External" /><Relationship Type="http://schemas.openxmlformats.org/officeDocument/2006/relationships/hyperlink" Id="rId33" Target="http://dx.doi.org/10.1093/nar/gku1117" TargetMode="External" /><Relationship Type="http://schemas.openxmlformats.org/officeDocument/2006/relationships/hyperlink" Id="rId41" Target="http://dx.doi.org/10.1109/MCSE.2011.37" TargetMode="External" /><Relationship Type="http://schemas.openxmlformats.org/officeDocument/2006/relationships/hyperlink" Id="rId37" Target="http://dx.doi.org/10.1186/1471-2105-13-S4-S14" TargetMode="External" /><Relationship Type="http://schemas.openxmlformats.org/officeDocument/2006/relationships/hyperlink" Id="rId38" Target="http://dx.doi.org/10.1186/1471-2105-14-S3-S15" TargetMode="External" /><Relationship Type="http://schemas.openxmlformats.org/officeDocument/2006/relationships/hyperlink" Id="rId39" Target="http://dx.doi.org/10.1186/s13742-015-0047-8" TargetMode="External" /><Relationship Type="http://schemas.openxmlformats.org/officeDocument/2006/relationships/hyperlink" Id="rId44" Target="http://statsmodels.sourceforge.net/stable/" TargetMode="External" /><Relationship Type="http://schemas.openxmlformats.org/officeDocument/2006/relationships/hyperlink" Id="rId40" Target="http://www.jstor.org/stable/2346101" TargetMode="External" /><Relationship Type="http://schemas.openxmlformats.org/officeDocument/2006/relationships/hyperlink" Id="rId43" Target="http://www.pubmedcentral.nih.gov/articlerender.fcgi?artid=3097064\&amp;tool=pmcentrez\&amp;rendertype=abstract" TargetMode="External" /><Relationship Type="http://schemas.openxmlformats.org/officeDocument/2006/relationships/hyperlink" Id="rId42" Target="http://www.scipy.org/" TargetMode="External" /><Relationship Type="http://schemas.openxmlformats.org/officeDocument/2006/relationships/hyperlink" Id="rId23" Target="link_address"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16/j.crvi.2005.06.001" TargetMode="External" /><Relationship Type="http://schemas.openxmlformats.org/officeDocument/2006/relationships/hyperlink" Id="rId36" Target="http://dx.doi.org/10.1038/nmeth.2340" TargetMode="External" /><Relationship Type="http://schemas.openxmlformats.org/officeDocument/2006/relationships/hyperlink" Id="rId35" Target="http://dx.doi.org/10.1093/nar/gkt1223" TargetMode="External" /><Relationship Type="http://schemas.openxmlformats.org/officeDocument/2006/relationships/hyperlink" Id="rId33" Target="http://dx.doi.org/10.1093/nar/gku1117" TargetMode="External" /><Relationship Type="http://schemas.openxmlformats.org/officeDocument/2006/relationships/hyperlink" Id="rId41" Target="http://dx.doi.org/10.1109/MCSE.2011.37" TargetMode="External" /><Relationship Type="http://schemas.openxmlformats.org/officeDocument/2006/relationships/hyperlink" Id="rId37" Target="http://dx.doi.org/10.1186/1471-2105-13-S4-S14" TargetMode="External" /><Relationship Type="http://schemas.openxmlformats.org/officeDocument/2006/relationships/hyperlink" Id="rId38" Target="http://dx.doi.org/10.1186/1471-2105-14-S3-S15" TargetMode="External" /><Relationship Type="http://schemas.openxmlformats.org/officeDocument/2006/relationships/hyperlink" Id="rId39" Target="http://dx.doi.org/10.1186/s13742-015-0047-8" TargetMode="External" /><Relationship Type="http://schemas.openxmlformats.org/officeDocument/2006/relationships/hyperlink" Id="rId44" Target="http://statsmodels.sourceforge.net/stable/" TargetMode="External" /><Relationship Type="http://schemas.openxmlformats.org/officeDocument/2006/relationships/hyperlink" Id="rId40" Target="http://www.jstor.org/stable/2346101" TargetMode="External" /><Relationship Type="http://schemas.openxmlformats.org/officeDocument/2006/relationships/hyperlink" Id="rId43" Target="http://www.pubmedcentral.nih.gov/articlerender.fcgi?artid=3097064\&amp;tool=pmcentrez\&amp;rendertype=abstract" TargetMode="External" /><Relationship Type="http://schemas.openxmlformats.org/officeDocument/2006/relationships/hyperlink" Id="rId42" Target="http://www.scipy.org/" TargetMode="External" /><Relationship Type="http://schemas.openxmlformats.org/officeDocument/2006/relationships/hyperlink" Id="rId23" Target="link_add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Gloria-Soria (ddRAD58)</dc:title>
  <dc:creator>Gus Dunn</dc:creator>
  <dcterms:created xsi:type="dcterms:W3CDTF">2014-12-29</dcterms:created>
  <dcterms:modified xsi:type="dcterms:W3CDTF">2014-12-29</dcterms:modified>
</cp:coreProperties>
</file>