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Glossina</w:t>
      </w:r>
      <w:r>
        <w:t xml:space="preserve"> </w:t>
      </w:r>
      <w:r>
        <w:t xml:space="preserve">informal</w:t>
      </w:r>
      <w:r>
        <w:t xml:space="preserve"> </w:t>
      </w:r>
      <w:r>
        <w:t xml:space="preserve">lunch</w:t>
      </w:r>
    </w:p>
    <w:p>
      <w:pPr>
        <w:pStyle w:val="Author"/>
      </w:pPr>
      <w:r>
        <w:t xml:space="preserve">GusD,</w:t>
      </w:r>
    </w:p>
    <w:p>
      <w:pPr>
        <w:pStyle w:val="Date"/>
      </w:pPr>
      <w:r>
        <w:t xml:space="preserve">2015-03-05</w:t>
      </w:r>
      <w:r>
        <w:t xml:space="preserve"> </w:t>
      </w:r>
      <w:r>
        <w:t xml:space="preserve">(Thursday)</w:t>
      </w:r>
    </w:p>
    <w:p>
      <w:pPr>
        <w:pStyle w:val="Heading1"/>
      </w:pPr>
      <w:bookmarkStart w:id="21" w:name="interest-in-uganda"/>
      <w:bookmarkEnd w:id="21"/>
      <w:r>
        <w:t xml:space="preserve">Interest in Uganda</w:t>
      </w:r>
    </w:p>
    <w:p>
      <w:pPr>
        <w:pStyle w:val="Compact"/>
        <w:numPr>
          <w:numId w:val="1001"/>
          <w:ilvl w:val="0"/>
        </w:numPr>
      </w:pPr>
      <w:r>
        <w:t xml:space="preserve">aside from pure academic curiosity, there are real public health reasons to do work here</w:t>
      </w:r>
    </w:p>
    <w:p>
      <w:pPr>
        <w:pStyle w:val="Compact"/>
        <w:numPr>
          <w:numId w:val="1001"/>
          <w:ilvl w:val="0"/>
        </w:numPr>
      </w:pPr>
      <w:r>
        <w:t xml:space="preserve">Convergence of the chronic and acute forms of Sleeping Sickness is imminent</w:t>
      </w:r>
    </w:p>
    <w:p>
      <w:pPr>
        <w:pStyle w:val="Compact"/>
        <w:numPr>
          <w:numId w:val="1001"/>
          <w:ilvl w:val="0"/>
        </w:numPr>
      </w:pPr>
      <w:r>
        <w:t xml:space="preserve">Currently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populations exist in semi-isolation due likely to water features</w:t>
      </w:r>
    </w:p>
    <w:p>
      <w:pPr>
        <w:pStyle w:val="Compact"/>
        <w:numPr>
          <w:numId w:val="1001"/>
          <w:ilvl w:val="0"/>
        </w:numPr>
      </w:pPr>
      <w:r>
        <w:t xml:space="preserve">Yet cases of the two forms of sickness, while rare indicate that at least the parasites are moving closer to a situation where diagnosis (already difficult) will become even harder.</w:t>
      </w:r>
    </w:p>
    <w:p>
      <w:pPr>
        <w:pStyle w:val="Compact"/>
        <w:numPr>
          <w:numId w:val="1001"/>
          <w:ilvl w:val="0"/>
        </w:numPr>
      </w:pPr>
      <w:r>
        <w:t xml:space="preserve">important because treatments are different for the two forms</w:t>
      </w:r>
    </w:p>
    <w:p>
      <w:pPr>
        <w:pStyle w:val="Heading2"/>
      </w:pPr>
      <w:bookmarkStart w:id="22" w:name="some-questions-about-the-convergence"/>
      <w:bookmarkEnd w:id="22"/>
      <w:r>
        <w:t xml:space="preserve">Some questions about the Convergence</w:t>
      </w:r>
    </w:p>
    <w:p>
      <w:pPr>
        <w:pStyle w:val="Compact"/>
        <w:numPr>
          <w:numId w:val="1002"/>
          <w:ilvl w:val="0"/>
        </w:numPr>
      </w:pPr>
      <w:r>
        <w:t xml:space="preserve">what can we expect from</w:t>
      </w:r>
      <w:r>
        <w:t xml:space="preserve"> </w:t>
      </w:r>
      <w:r>
        <w:rPr>
          <w:i/>
        </w:rPr>
        <w:t xml:space="preserve">G. f. fuscipes</w:t>
      </w:r>
      <w:r>
        <w:t xml:space="preserve"> </w:t>
      </w:r>
      <w:r>
        <w:t xml:space="preserve">populations when they encounter the</w:t>
      </w:r>
      <w:r>
        <w:t xml:space="preserve"> </w:t>
      </w:r>
      <w:r>
        <w:rPr>
          <w:b/>
        </w:rPr>
        <w:t xml:space="preserve">other</w:t>
      </w:r>
      <w:r>
        <w:t xml:space="preserve"> </w:t>
      </w:r>
      <w:r>
        <w:t xml:space="preserve">parasite-type?</w:t>
      </w:r>
    </w:p>
    <w:p>
      <w:pPr>
        <w:pStyle w:val="Compact"/>
        <w:numPr>
          <w:numId w:val="1002"/>
          <w:ilvl w:val="0"/>
        </w:numPr>
      </w:pPr>
      <w:r>
        <w:t xml:space="preserve">can we identify the corridors of gene-flow between</w:t>
      </w:r>
    </w:p>
    <w:p>
      <w:pPr>
        <w:pStyle w:val="Compact"/>
        <w:numPr>
          <w:numId w:val="1003"/>
          <w:ilvl w:val="1"/>
        </w:numPr>
      </w:pPr>
      <w:r>
        <w:t xml:space="preserve">the sub populations</w:t>
      </w:r>
    </w:p>
    <w:p>
      <w:pPr>
        <w:pStyle w:val="Compact"/>
        <w:numPr>
          <w:numId w:val="1003"/>
          <w:ilvl w:val="1"/>
        </w:numPr>
      </w:pPr>
      <w:r>
        <w:t xml:space="preserve">the larger north/south divide?</w:t>
      </w:r>
    </w:p>
    <w:p>
      <w:pPr>
        <w:pStyle w:val="Compact"/>
        <w:numPr>
          <w:numId w:val="1002"/>
          <w:ilvl w:val="0"/>
        </w:numPr>
      </w:pPr>
      <w:r>
        <w:t xml:space="preserve">how can we use this information to inform vector control strategies?</w:t>
      </w:r>
    </w:p>
    <w:p>
      <w:pPr>
        <w:pStyle w:val="Compact"/>
        <w:numPr>
          <w:numId w:val="1002"/>
          <w:ilvl w:val="0"/>
        </w:numPr>
      </w:pPr>
      <w:r>
        <w:t xml:space="preserve">how long has the north/south divide existed and what is/was the main cause</w:t>
      </w:r>
    </w:p>
    <w:p>
      <w:pPr>
        <w:pStyle w:val="Heading2"/>
      </w:pPr>
      <w:bookmarkStart w:id="23" w:name="positives-are-in-short-supply"/>
      <w:bookmarkEnd w:id="23"/>
      <w:r>
        <w:t xml:space="preserve">Positives are in SHORT supply</w:t>
      </w:r>
    </w:p>
    <w:p>
      <w:pPr>
        <w:pStyle w:val="Compact"/>
        <w:numPr>
          <w:numId w:val="1004"/>
          <w:ilvl w:val="0"/>
        </w:numPr>
      </w:pPr>
      <w:r>
        <w:t xml:space="preserve">VERY SHORT</w:t>
      </w:r>
    </w:p>
    <w:p>
      <w:pPr>
        <w:pStyle w:val="Heading1"/>
      </w:pPr>
      <w:bookmarkStart w:id="24" w:name="collection-numbers"/>
      <w:bookmarkEnd w:id="24"/>
      <w:r>
        <w:t xml:space="preserve">Collection numbers</w:t>
      </w:r>
    </w:p>
    <w:p>
      <w:pPr>
        <w:pStyle w:val="Heading2"/>
      </w:pPr>
      <w:bookmarkStart w:id="25" w:name="how-many-villages-have-we-sampled-in-2014"/>
      <w:bookmarkEnd w:id="25"/>
      <w:r>
        <w:t xml:space="preserve">how many villages have we sampled in 2014?</w:t>
      </w:r>
    </w:p>
    <w:p>
      <w:pPr>
        <w:pStyle w:val="Compact"/>
        <w:numPr>
          <w:numId w:val="1005"/>
          <w:ilvl w:val="0"/>
        </w:numPr>
      </w:pPr>
      <w:r>
        <w:t xml:space="preserve">47</w:t>
      </w:r>
    </w:p>
    <w:p>
      <w:pPr>
        <w:pStyle w:val="Heading2"/>
      </w:pPr>
      <w:bookmarkStart w:id="26" w:name="total-files-collected"/>
      <w:bookmarkEnd w:id="26"/>
      <w:r>
        <w:t xml:space="preserve">total files collected</w:t>
      </w:r>
    </w:p>
    <w:p>
      <w:pPr>
        <w:pStyle w:val="Compact"/>
        <w:numPr>
          <w:numId w:val="1006"/>
          <w:ilvl w:val="0"/>
        </w:numPr>
      </w:pPr>
      <w:r>
        <w:t xml:space="preserve">6867</w:t>
      </w:r>
    </w:p>
    <w:p>
      <w:pPr>
        <w:pStyle w:val="Heading2"/>
      </w:pPr>
      <w:bookmarkStart w:id="27" w:name="total-flies-dissected-and-assessed-for-infection-of-any-tryps"/>
      <w:bookmarkEnd w:id="27"/>
      <w:r>
        <w:t xml:space="preserve">total flies dissected and assessed for infection of any Tryps</w:t>
      </w:r>
    </w:p>
    <w:p>
      <w:pPr>
        <w:pStyle w:val="Compact"/>
        <w:numPr>
          <w:numId w:val="1007"/>
          <w:ilvl w:val="0"/>
        </w:numPr>
      </w:pPr>
      <w:r>
        <w:t xml:space="preserve">3699</w:t>
      </w:r>
    </w:p>
    <w:p>
      <w:pPr>
        <w:pStyle w:val="Heading2"/>
      </w:pPr>
      <w:bookmarkStart w:id="28" w:name="positives"/>
      <w:bookmarkEnd w:id="28"/>
      <w:r>
        <w:t xml:space="preserve">positives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total:</w:t>
      </w:r>
      <w:r>
        <w:t xml:space="preserve"> </w:t>
      </w:r>
      <w:r>
        <w:t xml:space="preserve">85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positive rate (overall):</w:t>
      </w:r>
      <w:r>
        <w:t xml:space="preserve"> </w:t>
      </w:r>
      <w:r>
        <w:t xml:space="preserve">2.3%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positive rates in best villages: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positive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OCU</w:t>
            </w:r>
          </w:p>
        </w:tc>
        <w:tc>
          <w:p>
            <w:pPr>
              <w:pStyle w:val="Compact"/>
              <w:jc w:val="left"/>
            </w:pPr>
            <w:r>
              <w:t xml:space="preserve">6.321839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</w:t>
            </w:r>
          </w:p>
        </w:tc>
        <w:tc>
          <w:p>
            <w:pPr>
              <w:pStyle w:val="Compact"/>
              <w:jc w:val="left"/>
            </w:pPr>
            <w:r>
              <w:t xml:space="preserve">6.217617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OCA</w:t>
            </w:r>
          </w:p>
        </w:tc>
        <w:tc>
          <w:p>
            <w:pPr>
              <w:pStyle w:val="Compact"/>
              <w:jc w:val="left"/>
            </w:pPr>
            <w:r>
              <w:t xml:space="preserve">3.832753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</w:t>
            </w:r>
          </w:p>
        </w:tc>
        <w:tc>
          <w:p>
            <w:pPr>
              <w:pStyle w:val="Compact"/>
              <w:jc w:val="left"/>
            </w:pPr>
            <w:r>
              <w:t xml:space="preserve">2.290076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AMI</w:t>
            </w:r>
          </w:p>
        </w:tc>
        <w:tc>
          <w:p>
            <w:pPr>
              <w:pStyle w:val="Compact"/>
              <w:jc w:val="left"/>
            </w:pPr>
            <w:r>
              <w:t xml:space="preserve">2.222222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</w:t>
            </w:r>
          </w:p>
        </w:tc>
        <w:tc>
          <w:p>
            <w:pPr>
              <w:pStyle w:val="Compact"/>
              <w:jc w:val="left"/>
            </w:pPr>
            <w:r>
              <w:t xml:space="preserve">1.626016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AKA</w:t>
            </w:r>
          </w:p>
        </w:tc>
        <w:tc>
          <w:p>
            <w:pPr>
              <w:pStyle w:val="Compact"/>
              <w:jc w:val="left"/>
            </w:pPr>
            <w:r>
              <w:t xml:space="preserve">1.326260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</w:t>
            </w:r>
          </w:p>
        </w:tc>
        <w:tc>
          <w:p>
            <w:pPr>
              <w:pStyle w:val="Compact"/>
              <w:jc w:val="left"/>
            </w:pPr>
            <w:r>
              <w:t xml:space="preserve">1.265823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APU</w:t>
            </w:r>
          </w:p>
        </w:tc>
        <w:tc>
          <w:p>
            <w:pPr>
              <w:pStyle w:val="Compact"/>
              <w:jc w:val="left"/>
            </w:pPr>
            <w:r>
              <w:t xml:space="preserve">1.041667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UWA</w:t>
            </w:r>
          </w:p>
        </w:tc>
        <w:tc>
          <w:p>
            <w:pPr>
              <w:pStyle w:val="Compact"/>
              <w:jc w:val="left"/>
            </w:pPr>
            <w:r>
              <w:t xml:space="preserve">0.632911</w:t>
            </w:r>
          </w:p>
        </w:tc>
      </w:tr>
    </w:tbl>
    <w:p>
      <w:pPr>
        <w:pStyle w:val="Heading1"/>
      </w:pPr>
      <w:bookmarkStart w:id="29" w:name="methods"/>
      <w:bookmarkEnd w:id="29"/>
      <w:r>
        <w:t xml:space="preserve">Methods</w:t>
      </w:r>
    </w:p>
    <w:p>
      <w:pPr>
        <w:pStyle w:val="Compact"/>
        <w:numPr>
          <w:numId w:val="1009"/>
          <w:ilvl w:val="0"/>
        </w:numPr>
      </w:pPr>
      <w:r>
        <w:t xml:space="preserve">past has focused on MicroSat</w:t>
      </w:r>
    </w:p>
    <w:p>
      <w:pPr>
        <w:pStyle w:val="Compact"/>
        <w:numPr>
          <w:numId w:val="1010"/>
          <w:ilvl w:val="1"/>
        </w:numPr>
      </w:pPr>
      <w:r>
        <w:t xml:space="preserve">less DNA needed</w:t>
      </w:r>
    </w:p>
    <w:p>
      <w:pPr>
        <w:pStyle w:val="Compact"/>
        <w:numPr>
          <w:numId w:val="1009"/>
          <w:ilvl w:val="0"/>
        </w:numPr>
      </w:pPr>
      <w:r>
        <w:t xml:space="preserve">moving to ddRAD for more SNPs</w:t>
      </w:r>
    </w:p>
    <w:p>
      <w:pPr>
        <w:pStyle w:val="Heading1"/>
      </w:pPr>
      <w:bookmarkStart w:id="30" w:name="collection-protocol"/>
      <w:bookmarkEnd w:id="30"/>
      <w:r>
        <w:t xml:space="preserve">Collection protocol</w:t>
      </w:r>
    </w:p>
    <w:p>
      <w:pPr>
        <w:pStyle w:val="Compact"/>
        <w:numPr>
          <w:numId w:val="1011"/>
          <w:ilvl w:val="0"/>
        </w:numPr>
      </w:pPr>
      <w:r>
        <w:t xml:space="preserve">created and distributed</w:t>
      </w:r>
    </w:p>
    <w:p>
      <w:pPr>
        <w:pStyle w:val="Compact"/>
        <w:numPr>
          <w:numId w:val="1011"/>
          <w:ilvl w:val="0"/>
        </w:numPr>
      </w:pPr>
      <w:r>
        <w:t xml:space="preserve">to help standardize problems with curration</w:t>
      </w:r>
    </w:p>
    <w:p>
      <w:pPr>
        <w:pStyle w:val="Heading1"/>
      </w:pPr>
      <w:bookmarkStart w:id="31" w:name="databasesample-tracking-efforts"/>
      <w:bookmarkEnd w:id="31"/>
      <w:r>
        <w:t xml:space="preserve">Database/sample tracking efforts</w:t>
      </w:r>
    </w:p>
    <w:p>
      <w:pPr>
        <w:pStyle w:val="Compact"/>
        <w:numPr>
          <w:numId w:val="1012"/>
          <w:ilvl w:val="0"/>
        </w:numPr>
      </w:pPr>
      <w:r>
        <w:t xml:space="preserve">you know this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ee52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e500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Glossina informal lunch</dc:title>
  <dc:creator>GusD,</dc:creator>
</cp:coreProperties>
</file>