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Contribution</w:t>
      </w:r>
      <w:r>
        <w:t xml:space="preserve"> </w:t>
      </w:r>
      <w:r>
        <w:t xml:space="preserve">Title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First</w:t>
      </w:r>
      <w:r>
        <w:t xml:space="preserve"> </w:t>
      </w:r>
      <w:r>
        <w:t xml:space="preserve">Author</w:t>
      </w:r>
    </w:p>
    <w:p>
      <w:pPr>
        <w:pStyle w:val="Author"/>
      </w:pPr>
      <w:r>
        <w:t xml:space="preserve">Second</w:t>
      </w:r>
      <w:r>
        <w:t xml:space="preserve"> </w:t>
      </w:r>
      <w:r>
        <w:t xml:space="preserve">Author</w:t>
      </w:r>
    </w:p>
    <w:p>
      <w:pPr>
        <w:pStyle w:val="Author"/>
      </w:pPr>
      <w:r>
        <w:t xml:space="preserve">Third</w:t>
      </w:r>
      <w:r>
        <w:t xml:space="preserve"> </w:t>
      </w:r>
      <w:r>
        <w:t xml:space="preserve">Author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should</w:t>
      </w:r>
      <w:r>
        <w:t xml:space="preserve"> </w:t>
      </w:r>
      <w:r>
        <w:t xml:space="preserve">briefly</w:t>
      </w:r>
      <w:r>
        <w:t xml:space="preserve"> </w:t>
      </w:r>
      <w:r>
        <w:t xml:space="preserve">summarize</w:t>
      </w:r>
      <w:r>
        <w:t xml:space="preserve"> </w:t>
      </w:r>
      <w:r>
        <w:t xml:space="preserve">the</w:t>
      </w:r>
      <w:r>
        <w:t xml:space="preserve"> </w:t>
      </w:r>
      <w:r>
        <w:t xml:space="preserve">contents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paper</w:t>
      </w:r>
      <w:r>
        <w:t xml:space="preserve"> </w:t>
      </w:r>
      <w:r>
        <w:t xml:space="preserve">in</w:t>
      </w:r>
      <w:r>
        <w:t xml:space="preserve"> </w:t>
      </w:r>
      <w:r>
        <w:t xml:space="preserve">15–250</w:t>
      </w:r>
      <w:r>
        <w:t xml:space="preserve"> </w:t>
      </w:r>
      <w:r>
        <w:t xml:space="preserve">words.</w:t>
      </w:r>
    </w:p>
    <w:bookmarkStart w:id="31" w:name="first-se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First Section</w:t>
      </w:r>
    </w:p>
    <w:bookmarkStart w:id="30" w:name="a-subsection-sampl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 Subsection Sample</w:t>
      </w:r>
    </w:p>
    <w:p>
      <w:pPr>
        <w:pStyle w:val="FirstParagraph"/>
      </w:pPr>
      <w:r>
        <w:t xml:space="preserve">Please note that the first paragraph of a section or subsection is</w:t>
      </w:r>
      <w:r>
        <w:t xml:space="preserve"> </w:t>
      </w:r>
      <w:r>
        <w:t xml:space="preserve">not indented. The first paragraph that follows a table, figure,</w:t>
      </w:r>
      <w:r>
        <w:t xml:space="preserve"> </w:t>
      </w:r>
      <w:r>
        <w:t xml:space="preserve">equation etc. does not need an indent, either.</w:t>
      </w:r>
    </w:p>
    <w:p>
      <w:pPr>
        <w:pStyle w:val="BodyText"/>
      </w:pPr>
      <w:r>
        <w:t xml:space="preserve">Subsequent paragraphs, however, are indented.</w:t>
      </w:r>
    </w:p>
    <w:bookmarkStart w:id="29" w:name="sample-heading-third-level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Sample Heading (Third Level)</w:t>
      </w:r>
    </w:p>
    <w:p>
      <w:pPr>
        <w:pStyle w:val="FirstParagraph"/>
      </w:pPr>
      <w:r>
        <w:t xml:space="preserve">Only two levels of</w:t>
      </w:r>
      <w:r>
        <w:t xml:space="preserve"> </w:t>
      </w:r>
      <w:r>
        <w:t xml:space="preserve">headings should be numbered. Lower level headings remain unnumbered;</w:t>
      </w:r>
      <w:r>
        <w:t xml:space="preserve"> </w:t>
      </w:r>
      <w:r>
        <w:t xml:space="preserve">they are formatted as run-in headings.</w:t>
      </w:r>
    </w:p>
    <w:bookmarkStart w:id="28" w:name="sample-heading-fourth-level"/>
    <w:p>
      <w:pPr>
        <w:pStyle w:val="Heading4"/>
      </w:pPr>
      <w:r>
        <w:rPr>
          <w:rStyle w:val="SectionNumber"/>
        </w:rPr>
        <w:t xml:space="preserve">1.1.1.1</w:t>
      </w:r>
      <w:r>
        <w:tab/>
      </w:r>
      <w:r>
        <w:t xml:space="preserve">Sample Heading (Fourth Level)</w:t>
      </w:r>
    </w:p>
    <w:p>
      <w:pPr>
        <w:pStyle w:val="FirstParagraph"/>
      </w:pPr>
      <w:r>
        <w:t xml:space="preserve">The contribution should contain no more than four levels of</w:t>
      </w:r>
      <w:r>
        <w:t xml:space="preserve"> </w:t>
      </w:r>
      <w:r>
        <w:t xml:space="preserve">headings. Table </w:t>
      </w:r>
      <w:hyperlink w:anchor="tab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gives a summary of all heading levels.</w:t>
      </w:r>
    </w:p>
    <w:bookmarkStart w:id="22" w:name="tab1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Table captions should be placed above the</w:t>
      </w:r>
      <w:r>
        <w:t xml:space="preserve"> </w:t>
      </w:r>
      <w:r>
        <w:t xml:space="preserve">tables.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captions should be placed above the table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Heading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Font size and style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 (centered)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 Notes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point, bold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1st-level heading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 Introduction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point, bold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2nd-level heading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2.1 Printing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point, bold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3rd-level heading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Run-in Heading in Bold.</w:t>
            </w:r>
            <w:r>
              <w:t xml:space="preserve"> </w:t>
            </w:r>
            <w:r>
              <w:t xml:space="preserve">Text follows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point, bold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4th-level heading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Lowest Level Heading.</w:t>
            </w:r>
            <w:r>
              <w:t xml:space="preserve"> </w:t>
            </w:r>
            <w:r>
              <w:t xml:space="preserve">Text follows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point, italic</w:t>
            </w:r>
          </w:p>
        </w:tc>
      </w:tr>
    </w:tbl>
    <w:bookmarkEnd w:id="22"/>
    <w:p>
      <w:pPr>
        <w:pStyle w:val="BodyText"/>
      </w:pPr>
      <w:r>
        <w:t xml:space="preserve">Displayed equations are centered and set on a separate</w:t>
      </w:r>
      <w:r>
        <w:t xml:space="preserve"> </w:t>
      </w:r>
      <w:r>
        <w:t xml:space="preserve">line. As shown in Equation </w:t>
      </w:r>
      <w:hyperlink w:anchor="equ:add">
        <w:r>
          <w:rPr>
            <w:rStyle w:val="Hyperlink"/>
          </w:rPr>
          <w:t xml:space="preserve">[equ:add]</w:t>
        </w:r>
      </w:hyperlink>
      <w:r>
        <w:t xml:space="preserve">.</w:t>
      </w:r>
    </w:p>
    <w:tbl>
      <w:tblPr>
        <w:tblStyle w:val="Table"/>
        <w:tblW w:type="pct" w:w="4950"/>
        <w:tblLook w:firstRow="0" w:lastRow="0" w:firstColumn="0" w:lastColumn="0" w:noHBand="0" w:noVBand="0" w:val="0000"/>
      </w:tblPr>
      <w:tblGrid>
        <w:gridCol w:w="7128"/>
        <w:gridCol w:w="71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z</m:t>
                </m:r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Please try to avoid rasterized images for line-art diagrams and</w:t>
      </w:r>
      <w:r>
        <w:t xml:space="preserve"> </w:t>
      </w:r>
      <w:r>
        <w:t xml:space="preserve">schemas. Whenever possible, use vector graphics instead (see</w:t>
      </w:r>
      <w:r>
        <w:t xml:space="preserve"> </w:t>
      </w:r>
      <w:r>
        <w:t xml:space="preserve">Fig. </w:t>
      </w:r>
      <w:hyperlink w:anchor="fig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CaptionedFigure"/>
      </w:pPr>
      <w:bookmarkStart w:id="26" w:name="fig1"/>
      <w:r>
        <w:drawing>
          <wp:inline>
            <wp:extent cx="5334000" cy="2206013"/>
            <wp:effectExtent b="0" l="0" r="0" t="0"/>
            <wp:docPr descr="A figure caption is always placed below the illustration. Please note that short captions are centered, while long ones are justified by the macro package automatically." title="" id="24" name="Picture"/>
            <a:graphic>
              <a:graphicData uri="http://schemas.openxmlformats.org/drawingml/2006/picture">
                <pic:pic>
                  <pic:nvPicPr>
                    <pic:cNvPr descr="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ref_fig1"/>
      <w:r>
        <w:t xml:space="preserve">Figure </w:t>
      </w:r>
      <w:fldSimple w:instr="SEQ Figure \* ARABIC ">
        <w:r>
          <w:t>1</w:t>
        </w:r>
      </w:fldSimple>
      <w:bookmarkEnd w:id="27"/>
      <w:r>
        <w:t xml:space="preserve">: </w:t>
      </w:r>
      <w:r>
        <w:t xml:space="preserve">A figure caption is always placed below the illustration.</w:t>
      </w:r>
      <w:r>
        <w:t xml:space="preserve"> </w:t>
      </w:r>
      <w:r>
        <w:t xml:space="preserve">Please note that short captions are centered, while long ones are</w:t>
      </w:r>
      <w:r>
        <w:t xml:space="preserve"> </w:t>
      </w:r>
      <w:r>
        <w:t xml:space="preserve">justified by the macro package automatically.</w:t>
      </w:r>
    </w:p>
    <w:p>
      <w:pPr>
        <w:pStyle w:val="BodyText"/>
      </w:pPr>
      <w:r>
        <w:t xml:space="preserve">This is a sample theorem. The run-in heading is set in bold, while</w:t>
      </w:r>
      <w:r>
        <w:t xml:space="preserve"> </w:t>
      </w:r>
      <w:r>
        <w:t xml:space="preserve">the following text appears in italics. Definitions, lemmas,</w:t>
      </w:r>
      <w:r>
        <w:t xml:space="preserve"> </w:t>
      </w:r>
      <w:r>
        <w:t xml:space="preserve">propositions, and corollaries are styled the same way.</w:t>
      </w:r>
    </w:p>
    <w:p>
      <w:pPr>
        <w:pStyle w:val="BodyText"/>
      </w:pPr>
      <w:r>
        <w:rPr>
          <w:iCs/>
          <w:i/>
        </w:rPr>
        <w:t xml:space="preserve">Proof.</w:t>
      </w:r>
      <w:r>
        <w:t xml:space="preserve"> </w:t>
      </w:r>
      <w:r>
        <w:t xml:space="preserve">Proofs, examples, and remarks have the initial word in italics,</w:t>
      </w:r>
      <w:r>
        <w:t xml:space="preserve"> </w:t>
      </w:r>
      <w:r>
        <w:t xml:space="preserve">while the following text appears in normal font. ◻</w:t>
      </w:r>
    </w:p>
    <w:p>
      <w:pPr>
        <w:pStyle w:val="BodyText"/>
      </w:pPr>
      <w:r>
        <w:t xml:space="preserve">For citations of references, we prefer the use of square brackets</w:t>
      </w:r>
      <w:r>
        <w:t xml:space="preserve"> </w:t>
      </w:r>
      <w:r>
        <w:t xml:space="preserve">and consecutive numbers. Citations using labels or the author/year</w:t>
      </w:r>
      <w:r>
        <w:t xml:space="preserve"> </w:t>
      </w:r>
      <w:r>
        <w:t xml:space="preserve">convention are also acceptable.</w:t>
      </w:r>
      <w:r>
        <w:t xml:space="preserve"> </w:t>
      </w:r>
      <w:r>
        <w:t xml:space="preserve">Also, please note the following:</w:t>
      </w:r>
    </w:p>
    <w:p>
      <w:pPr>
        <w:numPr>
          <w:ilvl w:val="0"/>
          <w:numId w:val="1001"/>
        </w:numPr>
      </w:pPr>
      <w:r>
        <w:t xml:space="preserve">Depending on the citation manager you use, extra care needs to be exercised with respect to</w:t>
      </w:r>
      <w:r>
        <w:t xml:space="preserve"> </w:t>
      </w:r>
      <w:r>
        <w:t xml:space="preserve">“</w:t>
      </w:r>
      <w:r>
        <w:t xml:space="preserve">extra</w:t>
      </w:r>
      <w:r>
        <w:t xml:space="preserve">”</w:t>
      </w:r>
      <w:r>
        <w:t xml:space="preserve"> </w:t>
      </w:r>
      <w:r>
        <w:t xml:space="preserve">(in</w:t>
      </w:r>
      <w:r>
        <w:t xml:space="preserve"> </w:t>
      </w:r>
      <w:r>
        <w:rPr>
          <w:iCs/>
          <w:i/>
        </w:rPr>
        <w:t xml:space="preserve">Zotero</w:t>
      </w:r>
      <w:r>
        <w:t xml:space="preserve">) or</w:t>
      </w:r>
      <w:r>
        <w:t xml:space="preserve"> </w:t>
      </w:r>
      <w:r>
        <w:t xml:space="preserve">“</w:t>
      </w:r>
      <w:r>
        <w:t xml:space="preserve">note</w:t>
      </w:r>
      <w:r>
        <w:t xml:space="preserve">”</w:t>
      </w:r>
      <w:r>
        <w:t xml:space="preserve"> </w:t>
      </w:r>
      <w:r>
        <w:t xml:space="preserve">field.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an</w:t>
      </w:r>
      <w:r>
        <w:t xml:space="preserve"> </w:t>
      </w:r>
      <w:r>
        <w:rPr>
          <w:iCs/>
          <w:i/>
        </w:rPr>
        <w:t xml:space="preserve">incorrectly</w:t>
      </w:r>
      <w:r>
        <w:t xml:space="preserve"> </w:t>
      </w:r>
      <w:r>
        <w:t xml:space="preserve">formatted citation like the one for</w:t>
      </w:r>
      <w:r>
        <w:t xml:space="preserve"> </w:t>
      </w:r>
      <w:r>
        <w:t xml:space="preserve">[3]</w:t>
      </w:r>
      <w:r>
        <w:t xml:space="preserve">.</w:t>
      </w:r>
      <w:r>
        <w:t xml:space="preserve"> </w:t>
      </w:r>
      <w:r>
        <w:t xml:space="preserve">Be sure to clear the</w:t>
      </w:r>
      <w:r>
        <w:t xml:space="preserve"> </w:t>
      </w:r>
      <w:r>
        <w:t xml:space="preserve">“</w:t>
      </w:r>
      <w:r>
        <w:t xml:space="preserve">note</w:t>
      </w:r>
      <w:r>
        <w:t xml:space="preserve">”</w:t>
      </w:r>
      <w:r>
        <w:t xml:space="preserve"> </w:t>
      </w:r>
      <w:r>
        <w:t xml:space="preserve">of your .bib from such entries.</w:t>
      </w:r>
      <w:r>
        <w:t xml:space="preserve"> </w:t>
      </w:r>
      <w:r>
        <w:t xml:space="preserve">There are very few cases where the</w:t>
      </w:r>
      <w:r>
        <w:t xml:space="preserve"> </w:t>
      </w:r>
      <w:r>
        <w:t xml:space="preserve">“</w:t>
      </w:r>
      <w:r>
        <w:t xml:space="preserve">note</w:t>
      </w:r>
      <w:r>
        <w:t xml:space="preserve">”</w:t>
      </w:r>
      <w:r>
        <w:t xml:space="preserve"> </w:t>
      </w:r>
      <w:r>
        <w:t xml:space="preserve">field is used,</w:t>
      </w:r>
      <w:r>
        <w:t xml:space="preserve"> </w:t>
      </w:r>
      <w:r>
        <w:t xml:space="preserve">two examples are</w:t>
      </w:r>
      <w:r>
        <w:t xml:space="preserve"> </w:t>
      </w:r>
      <w:r>
        <w:t xml:space="preserve">[1]</w:t>
      </w:r>
      <w:r>
        <w:t xml:space="preserve"> </w:t>
      </w:r>
      <w:r>
        <w:t xml:space="preserve">and</w:t>
      </w:r>
      <w:r>
        <w:t xml:space="preserve"> </w:t>
      </w:r>
      <w:r>
        <w:t xml:space="preserve">[2]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If exporting the .bib file from an app like</w:t>
      </w:r>
      <w:r>
        <w:t xml:space="preserve"> </w:t>
      </w:r>
      <w:r>
        <w:rPr>
          <w:iCs/>
          <w:i/>
        </w:rPr>
        <w:t xml:space="preserve">Zotero</w:t>
      </w:r>
      <w:r>
        <w:t xml:space="preserve">, it is desirable to export it as UTF-8-encoded BibTeX (</w:t>
      </w:r>
      <w:r>
        <w:rPr>
          <w:iCs/>
          <w:i/>
        </w:rPr>
        <w:t xml:space="preserve">not</w:t>
      </w:r>
      <w:r>
        <w:t xml:space="preserve"> </w:t>
      </w:r>
      <w:r>
        <w:t xml:space="preserve">BibLaTeX).</w:t>
      </w:r>
    </w:p>
    <w:bookmarkEnd w:id="28"/>
    <w:bookmarkEnd w:id="29"/>
    <w:bookmarkEnd w:id="30"/>
    <w:bookmarkEnd w:id="31"/>
    <w:bookmarkStart w:id="39" w:name="bibliography"/>
    <w:p>
      <w:pPr>
        <w:pStyle w:val="Heading1"/>
      </w:pPr>
      <w:r>
        <w:t xml:space="preserve">Reference</w:t>
      </w:r>
    </w:p>
    <w:bookmarkStart w:id="38" w:name="refs"/>
    <w:bookmarkStart w:id="33" w:name="ref-ozernyi_linguistic_202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Ozernyi, D.M.: Linguistic transfer, or there and back again:</w:t>
      </w:r>
      <w:r>
        <w:t xml:space="preserve"> </w:t>
      </w:r>
      <w:r>
        <w:t xml:space="preserve">A</w:t>
      </w:r>
      <w:r>
        <w:t xml:space="preserve"> </w:t>
      </w:r>
      <w:r>
        <w:t xml:space="preserve">chronological study of terminological meandering. Presented at the January (2022). https://doi.org/</w:t>
      </w:r>
      <w:hyperlink r:id="rId32">
        <w:r>
          <w:rPr>
            <w:rStyle w:val="Hyperlink"/>
          </w:rPr>
          <w:t xml:space="preserve">10.13140/RG.2.2.27507.86560</w:t>
        </w:r>
      </w:hyperlink>
      <w:r>
        <w:t xml:space="preserve">.</w:t>
      </w:r>
    </w:p>
    <w:bookmarkEnd w:id="33"/>
    <w:bookmarkStart w:id="35" w:name="ref-ozernyi_rise_202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Ozernyi, D.M.: The rise and fall of linguistic transfer.</w:t>
      </w:r>
      <w:r>
        <w:t xml:space="preserve"> </w:t>
      </w:r>
      <w:r>
        <w:t xml:space="preserve">Manuscript</w:t>
      </w:r>
      <w:r>
        <w:t xml:space="preserve">.</w:t>
      </w:r>
      <w:r>
        <w:t xml:space="preserve"> </w:t>
      </w:r>
      <w:r>
        <w:t xml:space="preserve">Northwestern</w:t>
      </w:r>
      <w:r>
        <w:t xml:space="preserve"> </w:t>
      </w:r>
      <w:r>
        <w:t xml:space="preserve">University</w:t>
      </w:r>
      <w:r>
        <w:t xml:space="preserve">. Presented at the (2022). https://doi.org/</w:t>
      </w:r>
      <w:hyperlink r:id="rId34">
        <w:r>
          <w:rPr>
            <w:rStyle w:val="Hyperlink"/>
          </w:rPr>
          <w:t xml:space="preserve">10.5281/zenodo.6237257</w:t>
        </w:r>
      </w:hyperlink>
      <w:r>
        <w:t xml:space="preserve">.</w:t>
      </w:r>
    </w:p>
    <w:bookmarkEnd w:id="35"/>
    <w:bookmarkStart w:id="37" w:name="ref-sankoff_formal_198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Sankoff, D., Poplack, S.: A formal grammar for code‐switching. Paper in Linguistics. 14, 1, 3–45 (1981). https://doi.org/</w:t>
      </w:r>
      <w:hyperlink r:id="rId36">
        <w:r>
          <w:rPr>
            <w:rStyle w:val="Hyperlink"/>
          </w:rPr>
          <w:t xml:space="preserve">10.1080/08351818109370523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Supported</w:t>
      </w:r>
      <w:r>
        <w:t xml:space="preserve"> </w:t>
      </w:r>
      <w:r>
        <w:t xml:space="preserve">by</w:t>
      </w:r>
      <w:r>
        <w:t xml:space="preserve"> </w:t>
      </w:r>
      <w:r>
        <w:t xml:space="preserve">organization</w:t>
      </w:r>
      <w:r>
        <w:t xml:space="preserve"> </w:t>
      </w:r>
      <w:r>
        <w:t xml:space="preserve">x.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6" Target="https://doi.org/10.1080/08351818109370523" TargetMode="External" /><Relationship Type="http://schemas.openxmlformats.org/officeDocument/2006/relationships/hyperlink" Id="rId32" Target="https://doi.org/10.13140/RG.2.2.27507.86560" TargetMode="External" /><Relationship Type="http://schemas.openxmlformats.org/officeDocument/2006/relationships/hyperlink" Id="rId34" Target="https://doi.org/10.5281/zenodo.623725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8351818109370523" TargetMode="External" /><Relationship Type="http://schemas.openxmlformats.org/officeDocument/2006/relationships/hyperlink" Id="rId32" Target="https://doi.org/10.13140/RG.2.2.27507.86560" TargetMode="External" /><Relationship Type="http://schemas.openxmlformats.org/officeDocument/2006/relationships/hyperlink" Id="rId34" Target="https://doi.org/10.5281/zenodo.62372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Contribution Title</dc:title>
  <dc:creator>First Author; Second Author; Third Author</dc:creator>
  <cp:keywords/>
  <dcterms:created xsi:type="dcterms:W3CDTF">2022-04-23T04:58:50Z</dcterms:created>
  <dcterms:modified xsi:type="dcterms:W3CDTF">2022-04-23T04:58:50Z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abstract should briefly summarize the contents of the paper in 15–250 words.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reference.bib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springer-lecture-notes-in-computer-science-alphabetical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equationNumberTeX">
    <vt:lpwstr>qquad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reference-section-title">
    <vt:lpwstr>Reference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True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