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3C99F" w14:textId="77777777" w:rsidR="007E5CA6" w:rsidRDefault="00B75A11">
      <w:pPr>
        <w:spacing w:line="440" w:lineRule="exact"/>
        <w:jc w:val="center"/>
        <w:rPr>
          <w:rFonts w:ascii="SimSun" w:hAnsi="SimSun"/>
          <w:b/>
          <w:bCs/>
          <w:sz w:val="32"/>
          <w:szCs w:val="32"/>
        </w:rPr>
      </w:pPr>
      <w:r>
        <w:rPr>
          <w:rFonts w:ascii="SimSun" w:hAnsi="SimSun" w:hint="eastAsia"/>
          <w:b/>
          <w:sz w:val="32"/>
          <w:szCs w:val="32"/>
        </w:rPr>
        <w:t>再生资源</w:t>
      </w:r>
      <w:r>
        <w:rPr>
          <w:rFonts w:ascii="SimSun" w:hAnsi="SimSun" w:hint="eastAsia"/>
          <w:b/>
          <w:bCs/>
          <w:sz w:val="32"/>
          <w:szCs w:val="32"/>
        </w:rPr>
        <w:t>处理合同</w:t>
      </w:r>
    </w:p>
    <w:p w14:paraId="5B297DA2" w14:textId="77777777" w:rsidR="007E5CA6" w:rsidRDefault="007E5CA6">
      <w:pPr>
        <w:spacing w:line="440" w:lineRule="exact"/>
        <w:jc w:val="center"/>
        <w:rPr>
          <w:rFonts w:ascii="SimSun" w:hAnsi="SimSun"/>
          <w:b/>
          <w:bCs/>
          <w:sz w:val="20"/>
          <w:szCs w:val="20"/>
        </w:rPr>
      </w:pPr>
    </w:p>
    <w:p w14:paraId="6AA59FFE" w14:textId="77777777" w:rsidR="007E5CA6" w:rsidRDefault="00B75A11">
      <w:pPr>
        <w:tabs>
          <w:tab w:val="left" w:pos="5660"/>
        </w:tabs>
        <w:spacing w:line="400" w:lineRule="exact"/>
        <w:rPr>
          <w:rFonts w:asciiTheme="minorEastAsia" w:eastAsiaTheme="minorEastAsia" w:hAnsiTheme="minorEastAsia"/>
          <w:b/>
          <w:sz w:val="22"/>
          <w:szCs w:val="22"/>
        </w:rPr>
      </w:pPr>
      <w:r>
        <w:rPr>
          <w:rFonts w:asciiTheme="minorEastAsia" w:hAnsiTheme="minorEastAsia" w:hint="eastAsia"/>
          <w:b/>
          <w:sz w:val="22"/>
          <w:szCs w:val="22"/>
        </w:rPr>
        <w:t>甲方：</w:t>
      </w:r>
      <w:r>
        <w:rPr>
          <w:rFonts w:asciiTheme="minorEastAsia" w:hAnsiTheme="minorEastAsia" w:hint="eastAsia"/>
          <w:sz w:val="22"/>
          <w:szCs w:val="22"/>
        </w:rPr>
        <w:t>华孚精密科技（马鞍山）有限公司</w:t>
      </w:r>
    </w:p>
    <w:p w14:paraId="5208FCEF" w14:textId="77777777" w:rsidR="007E5CA6" w:rsidRDefault="00B75A11">
      <w:pPr>
        <w:spacing w:line="400" w:lineRule="exact"/>
        <w:rPr>
          <w:rFonts w:asciiTheme="minorEastAsia" w:hAnsiTheme="minorEastAsia"/>
          <w:b/>
          <w:sz w:val="22"/>
          <w:szCs w:val="22"/>
        </w:rPr>
      </w:pPr>
      <w:r>
        <w:rPr>
          <w:rFonts w:asciiTheme="minorEastAsia" w:hAnsiTheme="minorEastAsia" w:hint="eastAsia"/>
          <w:b/>
          <w:sz w:val="22"/>
          <w:szCs w:val="22"/>
        </w:rPr>
        <w:t>乙方：</w:t>
      </w:r>
    </w:p>
    <w:p w14:paraId="4DCDEC65" w14:textId="77777777" w:rsidR="007E5CA6" w:rsidRDefault="007E5CA6">
      <w:pPr>
        <w:spacing w:line="400" w:lineRule="exact"/>
        <w:rPr>
          <w:rFonts w:asciiTheme="minorEastAsia" w:hAnsiTheme="minorEastAsia"/>
          <w:b/>
          <w:sz w:val="22"/>
          <w:szCs w:val="22"/>
        </w:rPr>
      </w:pPr>
    </w:p>
    <w:p w14:paraId="3757CE29" w14:textId="77777777" w:rsidR="007E5CA6" w:rsidRDefault="00B75A11">
      <w:pPr>
        <w:spacing w:line="400" w:lineRule="exact"/>
        <w:ind w:firstLineChars="200" w:firstLine="440"/>
        <w:rPr>
          <w:rFonts w:asciiTheme="minorEastAsia" w:eastAsiaTheme="minorEastAsia" w:hAnsiTheme="minorEastAsia"/>
          <w:sz w:val="22"/>
          <w:szCs w:val="22"/>
        </w:rPr>
      </w:pPr>
      <w:r>
        <w:rPr>
          <w:rFonts w:asciiTheme="minorEastAsia" w:hAnsiTheme="minorEastAsia" w:hint="eastAsia"/>
          <w:sz w:val="22"/>
          <w:szCs w:val="22"/>
        </w:rPr>
        <w:t>再生资源指废旧金属、报废电子产品、报废机电设备及其零部件、废造纸原料（如废纸、废棉等）、废轻化工原料（如橡胶、塑料、农药包装物、动物杂骨、毛发等）、废玻璃等。详见附件。</w:t>
      </w:r>
    </w:p>
    <w:p w14:paraId="48DFD3B6" w14:textId="77777777" w:rsidR="007E5CA6" w:rsidRDefault="00B75A11">
      <w:pPr>
        <w:spacing w:line="400" w:lineRule="exact"/>
        <w:ind w:leftChars="1" w:left="2" w:firstLineChars="200" w:firstLine="440"/>
        <w:rPr>
          <w:rFonts w:asciiTheme="minorEastAsia" w:eastAsiaTheme="minorEastAsia" w:hAnsiTheme="minorEastAsia"/>
          <w:sz w:val="22"/>
          <w:szCs w:val="22"/>
        </w:rPr>
      </w:pPr>
      <w:r>
        <w:rPr>
          <w:rFonts w:asciiTheme="minorEastAsia" w:hAnsiTheme="minorEastAsia" w:hint="eastAsia"/>
          <w:sz w:val="22"/>
          <w:szCs w:val="22"/>
        </w:rPr>
        <w:t>根据《中华人民共和国环境保护法》、《中华人民共和国固体废物污染环境防治法》、《再生资源回收管理办法》以及其他环境保护法律、法规的规定，国家鼓励全社会各行各业积攒交售再生资源并以环境无害化方式回收处理再生资源。乙方作为有资质处理再生资源的专业机构，受甲方委托，负责再生资源的收集、回收、提取与处置。为确保各方合法利益，维护正常合作，特签订如下协议，由各方共同遵照执行。</w:t>
      </w:r>
    </w:p>
    <w:p w14:paraId="7E5F191F" w14:textId="77777777" w:rsidR="007E5CA6" w:rsidRDefault="00B75A11">
      <w:pPr>
        <w:pStyle w:val="a8"/>
        <w:numPr>
          <w:ilvl w:val="0"/>
          <w:numId w:val="1"/>
        </w:numPr>
        <w:tabs>
          <w:tab w:val="left" w:pos="360"/>
        </w:tabs>
        <w:spacing w:beforeLines="50" w:before="156" w:afterLines="50" w:after="156"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合同义务</w:t>
      </w:r>
    </w:p>
    <w:p w14:paraId="239ED5C3" w14:textId="77777777" w:rsidR="007E5CA6" w:rsidRDefault="00B75A11">
      <w:pPr>
        <w:pStyle w:val="a8"/>
        <w:numPr>
          <w:ilvl w:val="0"/>
          <w:numId w:val="2"/>
        </w:numPr>
        <w:spacing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甲方合同义务：</w:t>
      </w:r>
    </w:p>
    <w:p w14:paraId="1D6E3B75" w14:textId="77777777" w:rsidR="007E5CA6" w:rsidRDefault="00B75A11">
      <w:pPr>
        <w:spacing w:line="400" w:lineRule="exact"/>
        <w:ind w:leftChars="471" w:left="989"/>
        <w:rPr>
          <w:rFonts w:asciiTheme="minorEastAsia" w:eastAsiaTheme="minorEastAsia" w:hAnsiTheme="minorEastAsia"/>
          <w:sz w:val="22"/>
          <w:szCs w:val="22"/>
        </w:rPr>
      </w:pPr>
      <w:r>
        <w:rPr>
          <w:rFonts w:asciiTheme="minorEastAsia" w:hAnsiTheme="minorEastAsia" w:hint="eastAsia"/>
          <w:sz w:val="22"/>
          <w:szCs w:val="22"/>
        </w:rPr>
        <w:t>甲方应将再生资源分开存放，做好标记标识，不可混入危险废物，袋装、桶装再生资源应贴上标签。甲方应将待处理的再生资源集中摆</w:t>
      </w:r>
      <w:r>
        <w:rPr>
          <w:rFonts w:asciiTheme="minorEastAsia" w:hAnsiTheme="minorEastAsia" w:hint="eastAsia"/>
          <w:sz w:val="22"/>
          <w:szCs w:val="22"/>
        </w:rPr>
        <w:t>放。</w:t>
      </w:r>
    </w:p>
    <w:p w14:paraId="3EFA1B5D" w14:textId="77777777" w:rsidR="007E5CA6" w:rsidRDefault="00B75A11">
      <w:pPr>
        <w:pStyle w:val="a8"/>
        <w:numPr>
          <w:ilvl w:val="0"/>
          <w:numId w:val="2"/>
        </w:numPr>
        <w:spacing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乙方合同义务：</w:t>
      </w:r>
    </w:p>
    <w:p w14:paraId="78AEA75E" w14:textId="77777777" w:rsidR="007E5CA6" w:rsidRDefault="00B75A11">
      <w:pPr>
        <w:spacing w:line="400" w:lineRule="exact"/>
        <w:ind w:leftChars="134" w:left="985" w:hangingChars="320" w:hanging="704"/>
        <w:rPr>
          <w:rFonts w:asciiTheme="minorEastAsia" w:eastAsiaTheme="minorEastAsia" w:hAnsiTheme="minorEastAsia"/>
          <w:sz w:val="22"/>
          <w:szCs w:val="22"/>
        </w:rPr>
      </w:pPr>
      <w:r>
        <w:rPr>
          <w:rFonts w:asciiTheme="minorEastAsia" w:hAnsiTheme="minorEastAsia" w:hint="eastAsia"/>
          <w:sz w:val="22"/>
          <w:szCs w:val="22"/>
        </w:rPr>
        <w:t>（一）乙方在合同的存续期间内，必须保证所持有许可证、执照等相关证件合法有效，并提交相关证件的复印件予甲方备案；相关资质证明档超过有效期限前一个月办妥并提供备份给甲方，否则视为丧失再生资源的处理资格﹐本合同自动终止。乙方向发证机关申请注销再生资源经营相关的许可证照时应提前</w:t>
      </w:r>
      <w:r>
        <w:rPr>
          <w:rFonts w:asciiTheme="minorEastAsia" w:hAnsiTheme="minorEastAsia"/>
          <w:sz w:val="22"/>
          <w:szCs w:val="22"/>
        </w:rPr>
        <w:t>60</w:t>
      </w:r>
      <w:r>
        <w:rPr>
          <w:rFonts w:asciiTheme="minorEastAsia" w:hAnsiTheme="minorEastAsia" w:hint="eastAsia"/>
          <w:sz w:val="22"/>
          <w:szCs w:val="22"/>
        </w:rPr>
        <w:t>日通知甲方。乙方如于合同期间丧失再生资源的处理资格时，甲方得依第五条第二项之约定行使权利。</w:t>
      </w:r>
    </w:p>
    <w:p w14:paraId="4A0F2937" w14:textId="77777777" w:rsidR="007E5CA6" w:rsidRDefault="00B75A11">
      <w:pPr>
        <w:spacing w:line="400" w:lineRule="exact"/>
        <w:ind w:leftChars="134" w:left="985" w:hangingChars="320" w:hanging="704"/>
        <w:rPr>
          <w:rFonts w:asciiTheme="minorEastAsia" w:eastAsiaTheme="minorEastAsia" w:hAnsiTheme="minorEastAsia"/>
          <w:sz w:val="22"/>
          <w:szCs w:val="22"/>
        </w:rPr>
      </w:pPr>
      <w:r>
        <w:rPr>
          <w:rFonts w:asciiTheme="minorEastAsia" w:hAnsiTheme="minorEastAsia" w:hint="eastAsia"/>
          <w:sz w:val="22"/>
          <w:szCs w:val="22"/>
        </w:rPr>
        <w:t>（二）、乙方在甲方装运再生资源前应检查甲方包装，发现包装不适应运输时应在收取前通知甲方，未通知时视为包装适合运输。</w:t>
      </w:r>
    </w:p>
    <w:p w14:paraId="59476B60" w14:textId="77777777" w:rsidR="007E5CA6" w:rsidRDefault="00B75A11">
      <w:pPr>
        <w:spacing w:line="400" w:lineRule="exact"/>
        <w:ind w:leftChars="134" w:left="985" w:hangingChars="320" w:hanging="704"/>
        <w:rPr>
          <w:rFonts w:asciiTheme="minorEastAsia" w:eastAsiaTheme="minorEastAsia" w:hAnsiTheme="minorEastAsia"/>
          <w:sz w:val="22"/>
          <w:szCs w:val="22"/>
        </w:rPr>
      </w:pPr>
      <w:r>
        <w:rPr>
          <w:rFonts w:asciiTheme="minorEastAsia" w:hAnsiTheme="minorEastAsia" w:hint="eastAsia"/>
          <w:sz w:val="22"/>
          <w:szCs w:val="22"/>
        </w:rPr>
        <w:t>（三）、</w:t>
      </w:r>
      <w:r>
        <w:rPr>
          <w:rFonts w:asciiTheme="minorEastAsia" w:hAnsiTheme="minorEastAsia" w:hint="eastAsia"/>
          <w:sz w:val="22"/>
          <w:szCs w:val="22"/>
        </w:rPr>
        <w:t>乙方保证依照有关法律法规的规定，以环境无害化方式运输、贮存、处理再生资源。在收集再生资源过程中，乙方应对甲方所产生的再生资源的危害性进行调查检测分析，并依照前述</w:t>
      </w:r>
      <w:r>
        <w:rPr>
          <w:rFonts w:asciiTheme="minorEastAsia" w:hAnsiTheme="minorEastAsia"/>
          <w:sz w:val="22"/>
          <w:szCs w:val="22"/>
        </w:rPr>
        <w:t xml:space="preserve"> </w:t>
      </w:r>
      <w:r>
        <w:rPr>
          <w:rFonts w:asciiTheme="minorEastAsia" w:hAnsiTheme="minorEastAsia" w:hint="eastAsia"/>
          <w:sz w:val="22"/>
          <w:szCs w:val="22"/>
        </w:rPr>
        <w:t>调查检测分析结论分别处理：</w:t>
      </w:r>
    </w:p>
    <w:p w14:paraId="34769EF1" w14:textId="77777777" w:rsidR="007E5CA6" w:rsidRDefault="00B75A11">
      <w:pPr>
        <w:spacing w:line="400" w:lineRule="exact"/>
        <w:ind w:leftChars="607" w:left="1558" w:hanging="283"/>
        <w:rPr>
          <w:rFonts w:asciiTheme="minorEastAsia" w:eastAsiaTheme="minorEastAsia" w:hAnsiTheme="minorEastAsia"/>
          <w:sz w:val="22"/>
          <w:szCs w:val="22"/>
        </w:rPr>
      </w:pPr>
      <w:r>
        <w:rPr>
          <w:rFonts w:asciiTheme="minorEastAsia" w:hAnsiTheme="minorEastAsia"/>
          <w:sz w:val="22"/>
          <w:szCs w:val="22"/>
        </w:rPr>
        <w:t>1</w:t>
      </w:r>
      <w:r>
        <w:rPr>
          <w:rFonts w:asciiTheme="minorEastAsia" w:hAnsiTheme="minorEastAsia" w:hint="eastAsia"/>
          <w:sz w:val="22"/>
          <w:szCs w:val="22"/>
        </w:rPr>
        <w:t>、再生资源：应依双方约定处理。</w:t>
      </w:r>
    </w:p>
    <w:p w14:paraId="68E777F8" w14:textId="77777777" w:rsidR="007E5CA6" w:rsidRDefault="00B75A11">
      <w:pPr>
        <w:spacing w:line="400" w:lineRule="exact"/>
        <w:ind w:leftChars="607" w:left="1558" w:hanging="283"/>
        <w:rPr>
          <w:rFonts w:asciiTheme="minorEastAsia" w:eastAsiaTheme="minorEastAsia" w:hAnsiTheme="minorEastAsia"/>
          <w:sz w:val="22"/>
          <w:szCs w:val="22"/>
        </w:rPr>
      </w:pPr>
      <w:r>
        <w:rPr>
          <w:rFonts w:asciiTheme="minorEastAsia" w:hAnsiTheme="minorEastAsia"/>
          <w:sz w:val="22"/>
          <w:szCs w:val="22"/>
        </w:rPr>
        <w:t>2</w:t>
      </w:r>
      <w:r>
        <w:rPr>
          <w:rFonts w:asciiTheme="minorEastAsia" w:hAnsiTheme="minorEastAsia" w:hint="eastAsia"/>
          <w:sz w:val="22"/>
          <w:szCs w:val="22"/>
        </w:rPr>
        <w:t>、再生资源之外的一般废物：乙方应立即向甲方提供其所具有的处理工业废物等相关证照，否则乙方不得进行处理。</w:t>
      </w:r>
    </w:p>
    <w:p w14:paraId="3A9A2568" w14:textId="77777777" w:rsidR="007E5CA6" w:rsidRDefault="00B75A11">
      <w:pPr>
        <w:spacing w:line="400" w:lineRule="exact"/>
        <w:ind w:leftChars="607" w:left="1558" w:hanging="283"/>
        <w:rPr>
          <w:rFonts w:asciiTheme="minorEastAsia" w:eastAsiaTheme="minorEastAsia" w:hAnsiTheme="minorEastAsia"/>
          <w:sz w:val="22"/>
          <w:szCs w:val="22"/>
        </w:rPr>
      </w:pPr>
      <w:r>
        <w:rPr>
          <w:rFonts w:asciiTheme="minorEastAsia" w:hAnsiTheme="minorEastAsia"/>
          <w:sz w:val="22"/>
          <w:szCs w:val="22"/>
        </w:rPr>
        <w:t>3</w:t>
      </w:r>
      <w:r>
        <w:rPr>
          <w:rFonts w:asciiTheme="minorEastAsia" w:hAnsiTheme="minorEastAsia" w:hint="eastAsia"/>
          <w:sz w:val="22"/>
          <w:szCs w:val="22"/>
        </w:rPr>
        <w:t>、危险废物：乙方应拒绝接收该危险废物，并书面告知甲方该危险废物的具体类别与代码。</w:t>
      </w:r>
    </w:p>
    <w:p w14:paraId="52D47C67" w14:textId="77777777" w:rsidR="007E5CA6" w:rsidRDefault="00B75A11">
      <w:pPr>
        <w:spacing w:line="400" w:lineRule="exact"/>
        <w:ind w:leftChars="471" w:left="989" w:firstLineChars="100" w:firstLine="220"/>
        <w:rPr>
          <w:rFonts w:asciiTheme="minorEastAsia" w:eastAsiaTheme="minorEastAsia" w:hAnsiTheme="minorEastAsia"/>
          <w:sz w:val="22"/>
          <w:szCs w:val="22"/>
        </w:rPr>
      </w:pPr>
      <w:r>
        <w:rPr>
          <w:rFonts w:asciiTheme="minorEastAsia" w:hAnsiTheme="minorEastAsia" w:hint="eastAsia"/>
          <w:sz w:val="22"/>
          <w:szCs w:val="22"/>
        </w:rPr>
        <w:t>4</w:t>
      </w:r>
      <w:r>
        <w:rPr>
          <w:rFonts w:asciiTheme="minorEastAsia" w:hAnsiTheme="minorEastAsia" w:hint="eastAsia"/>
          <w:sz w:val="22"/>
          <w:szCs w:val="22"/>
        </w:rPr>
        <w:t>、乙方保证符合国家法律、法规对收集、贮存、运输和处理再生资源的技术要求，并在收集、运输、贮存和处理过程中，不产生环境污染，如发生再生资源的泄漏、散落，则由乙方负责清理。如因违反本约定所造成的甲方损失包括但不限于行政罚款及再次处理费用由乙方承担赔偿责任。</w:t>
      </w:r>
    </w:p>
    <w:p w14:paraId="7DAE8794" w14:textId="77777777" w:rsidR="007E5CA6" w:rsidRDefault="00B75A11">
      <w:pPr>
        <w:spacing w:line="400" w:lineRule="exact"/>
        <w:ind w:leftChars="134" w:left="985" w:hangingChars="320" w:hanging="704"/>
        <w:rPr>
          <w:rFonts w:asciiTheme="minorEastAsia" w:hAnsiTheme="minorEastAsia"/>
          <w:sz w:val="22"/>
          <w:szCs w:val="22"/>
          <w:u w:val="single"/>
        </w:rPr>
      </w:pPr>
      <w:r>
        <w:rPr>
          <w:rFonts w:asciiTheme="minorEastAsia" w:hAnsiTheme="minorEastAsia" w:hint="eastAsia"/>
          <w:sz w:val="22"/>
          <w:szCs w:val="22"/>
        </w:rPr>
        <w:t>（四）、乙方自备运输车辆和装卸人员，在甲方通知后一日内到甲方收取再生资源，确保甲方厂区内</w:t>
      </w:r>
      <w:r>
        <w:rPr>
          <w:rFonts w:asciiTheme="minorEastAsia" w:hAnsiTheme="minorEastAsia" w:hint="eastAsia"/>
          <w:sz w:val="22"/>
          <w:szCs w:val="22"/>
        </w:rPr>
        <w:lastRenderedPageBreak/>
        <w:t>不积存再生资源，不影响甲方正常生产、经营活动。再生资源离开甲方厂区后，乙方负“治污减排”的全部法律责任。甲方通知采取电话方式，乙方的联系方式为：联系人姓名：</w:t>
      </w:r>
      <w:r>
        <w:rPr>
          <w:rFonts w:asciiTheme="minorEastAsia" w:hAnsiTheme="minorEastAsia" w:hint="eastAsia"/>
          <w:sz w:val="22"/>
          <w:szCs w:val="22"/>
          <w:u w:val="single"/>
        </w:rPr>
        <w:t>孙显军</w:t>
      </w:r>
      <w:r>
        <w:rPr>
          <w:rFonts w:asciiTheme="minorEastAsia" w:hAnsiTheme="minorEastAsia" w:hint="eastAsia"/>
          <w:sz w:val="22"/>
          <w:szCs w:val="22"/>
          <w:u w:val="single"/>
        </w:rPr>
        <w:t xml:space="preserve"> </w:t>
      </w:r>
      <w:r>
        <w:rPr>
          <w:rFonts w:asciiTheme="minorEastAsia" w:hAnsiTheme="minorEastAsia" w:hint="eastAsia"/>
          <w:sz w:val="22"/>
          <w:szCs w:val="22"/>
        </w:rPr>
        <w:t>，联系人手机：</w:t>
      </w:r>
      <w:r>
        <w:rPr>
          <w:rFonts w:asciiTheme="minorEastAsia" w:hAnsiTheme="minorEastAsia" w:hint="eastAsia"/>
          <w:sz w:val="22"/>
          <w:szCs w:val="22"/>
          <w:u w:val="single"/>
        </w:rPr>
        <w:t>13696736360</w:t>
      </w:r>
      <w:r>
        <w:rPr>
          <w:rFonts w:asciiTheme="minorEastAsia" w:hAnsiTheme="minorEastAsia" w:hint="eastAsia"/>
          <w:sz w:val="22"/>
          <w:szCs w:val="22"/>
        </w:rPr>
        <w:t>电邮：</w:t>
      </w:r>
      <w:hyperlink r:id="rId8" w:history="1"/>
      <w:r>
        <w:rPr>
          <w:rFonts w:asciiTheme="minorEastAsia" w:hAnsiTheme="minorEastAsia" w:hint="eastAsia"/>
          <w:sz w:val="22"/>
          <w:szCs w:val="22"/>
          <w:u w:val="single"/>
        </w:rPr>
        <w:t>1017178807@qq.com</w:t>
      </w:r>
    </w:p>
    <w:p w14:paraId="31DB7135" w14:textId="77777777" w:rsidR="007E5CA6" w:rsidRDefault="00B75A11">
      <w:pPr>
        <w:spacing w:line="400" w:lineRule="exact"/>
        <w:ind w:leftChars="134" w:left="985" w:hangingChars="320" w:hanging="704"/>
        <w:rPr>
          <w:rFonts w:asciiTheme="minorEastAsia" w:eastAsiaTheme="minorEastAsia" w:hAnsiTheme="minorEastAsia"/>
          <w:sz w:val="22"/>
          <w:szCs w:val="22"/>
        </w:rPr>
      </w:pPr>
      <w:r>
        <w:rPr>
          <w:rFonts w:asciiTheme="minorEastAsia" w:hAnsiTheme="minorEastAsia" w:hint="eastAsia"/>
          <w:sz w:val="22"/>
          <w:szCs w:val="22"/>
        </w:rPr>
        <w:t>（五）、乙方回收再生资源的车辆、人员在甲方厂区应严格遵守甲方厂纪厂规，接受工作人员的监督管理，办理正常进出厂手续，不得携带本合同之外的任何物资。保证遵守甲方治安、消防、安全、卫生等规定，并承担因为违反规定而造成的事故赔偿责任。</w:t>
      </w:r>
    </w:p>
    <w:p w14:paraId="0191F10C" w14:textId="77777777" w:rsidR="007E5CA6" w:rsidRDefault="00B75A11">
      <w:pPr>
        <w:spacing w:line="400" w:lineRule="exact"/>
        <w:ind w:leftChars="134" w:left="985" w:hangingChars="320" w:hanging="704"/>
        <w:rPr>
          <w:rFonts w:asciiTheme="minorEastAsia" w:eastAsiaTheme="minorEastAsia" w:hAnsiTheme="minorEastAsia"/>
          <w:sz w:val="22"/>
          <w:szCs w:val="22"/>
        </w:rPr>
      </w:pPr>
      <w:r>
        <w:rPr>
          <w:rFonts w:asciiTheme="minorEastAsia" w:hAnsiTheme="minorEastAsia" w:hint="eastAsia"/>
          <w:sz w:val="22"/>
          <w:szCs w:val="22"/>
        </w:rPr>
        <w:t>（六）、乙方在清运完甲方厂区内再生资源之后，应将其作业范围内清理干净。</w:t>
      </w:r>
    </w:p>
    <w:p w14:paraId="62A40710" w14:textId="77777777" w:rsidR="007E5CA6" w:rsidRDefault="00B75A11">
      <w:pPr>
        <w:spacing w:line="400" w:lineRule="exact"/>
        <w:ind w:leftChars="134" w:left="985" w:hangingChars="320" w:hanging="704"/>
        <w:rPr>
          <w:rFonts w:asciiTheme="minorEastAsia" w:eastAsiaTheme="minorEastAsia" w:hAnsiTheme="minorEastAsia"/>
          <w:sz w:val="22"/>
          <w:szCs w:val="22"/>
        </w:rPr>
      </w:pPr>
      <w:r>
        <w:rPr>
          <w:rFonts w:asciiTheme="minorEastAsia" w:hAnsiTheme="minorEastAsia" w:hint="eastAsia"/>
          <w:sz w:val="22"/>
          <w:szCs w:val="22"/>
        </w:rPr>
        <w:t>（七）、乙方负责办理甲方所在地之一切再生资源转移手续，</w:t>
      </w:r>
      <w:r>
        <w:rPr>
          <w:rFonts w:asciiTheme="minorEastAsia" w:hAnsiTheme="minorEastAsia" w:hint="eastAsia"/>
          <w:sz w:val="22"/>
          <w:szCs w:val="22"/>
        </w:rPr>
        <w:t>并将相应备份送甲方留存。同时，由政府机构收取的一切与再生资源有关的费用由乙方负担。</w:t>
      </w:r>
    </w:p>
    <w:p w14:paraId="152C6DF7" w14:textId="77777777" w:rsidR="007E5CA6" w:rsidRDefault="00B75A11">
      <w:pPr>
        <w:spacing w:line="400" w:lineRule="exact"/>
        <w:ind w:leftChars="134" w:left="985" w:hangingChars="320" w:hanging="704"/>
        <w:rPr>
          <w:rFonts w:asciiTheme="minorEastAsia" w:eastAsiaTheme="minorEastAsia" w:hAnsiTheme="minorEastAsia"/>
          <w:sz w:val="22"/>
          <w:szCs w:val="22"/>
        </w:rPr>
      </w:pPr>
      <w:r>
        <w:rPr>
          <w:rFonts w:asciiTheme="minorEastAsia" w:hAnsiTheme="minorEastAsia" w:hint="eastAsia"/>
          <w:sz w:val="22"/>
          <w:szCs w:val="22"/>
        </w:rPr>
        <w:t>（八）、未经甲方书面同意，乙方不得将本合同权利义务转让给第三方厂商。乙方如有违反，甲方得不经催告径行解除本合同之全部或一部，乙方应加倍赔偿本合同总价款予甲方作为惩罚性违约金。</w:t>
      </w:r>
    </w:p>
    <w:p w14:paraId="38A29132" w14:textId="77777777" w:rsidR="007E5CA6" w:rsidRDefault="00B75A11">
      <w:pPr>
        <w:spacing w:line="400" w:lineRule="exact"/>
        <w:ind w:leftChars="134" w:left="985" w:hangingChars="320" w:hanging="704"/>
        <w:rPr>
          <w:rFonts w:asciiTheme="minorEastAsia" w:eastAsiaTheme="minorEastAsia" w:hAnsiTheme="minorEastAsia"/>
          <w:sz w:val="22"/>
          <w:szCs w:val="22"/>
        </w:rPr>
      </w:pPr>
      <w:r>
        <w:rPr>
          <w:rFonts w:asciiTheme="minorEastAsia" w:eastAsiaTheme="minorEastAsia" w:hAnsiTheme="minorEastAsia" w:hint="eastAsia"/>
          <w:sz w:val="22"/>
          <w:szCs w:val="22"/>
        </w:rPr>
        <w:t>（九）、</w:t>
      </w:r>
      <w:r>
        <w:rPr>
          <w:rFonts w:asciiTheme="minorEastAsia" w:hAnsiTheme="minorEastAsia" w:hint="eastAsia"/>
          <w:sz w:val="22"/>
          <w:szCs w:val="22"/>
        </w:rPr>
        <w:t>乙方因合同履行而知悉的甲方技朮、管理或其它任何信息应保证不泄露给任何第三人和自己不使用，违反本约定，由乙方向甲方支付违约金</w:t>
      </w:r>
      <w:r>
        <w:rPr>
          <w:rFonts w:asciiTheme="minorEastAsia" w:hAnsiTheme="minorEastAsia" w:hint="eastAsia"/>
          <w:sz w:val="22"/>
          <w:szCs w:val="22"/>
        </w:rPr>
        <w:t xml:space="preserve">    </w:t>
      </w:r>
      <w:r>
        <w:rPr>
          <w:rFonts w:asciiTheme="minorEastAsia" w:hAnsiTheme="minorEastAsia" w:hint="eastAsia"/>
          <w:sz w:val="22"/>
          <w:szCs w:val="22"/>
        </w:rPr>
        <w:t>万元人民币。</w:t>
      </w:r>
    </w:p>
    <w:p w14:paraId="251B2ECD" w14:textId="77777777" w:rsidR="007E5CA6" w:rsidRDefault="00B75A11">
      <w:pPr>
        <w:spacing w:line="400" w:lineRule="exact"/>
        <w:ind w:leftChars="134" w:left="985" w:hangingChars="320" w:hanging="704"/>
        <w:rPr>
          <w:rFonts w:asciiTheme="minorEastAsia" w:eastAsiaTheme="minorEastAsia" w:hAnsiTheme="minorEastAsia"/>
          <w:sz w:val="22"/>
          <w:szCs w:val="22"/>
        </w:rPr>
      </w:pPr>
      <w:r>
        <w:rPr>
          <w:rFonts w:asciiTheme="minorEastAsia" w:hAnsiTheme="minorEastAsia" w:hint="eastAsia"/>
          <w:sz w:val="22"/>
          <w:szCs w:val="22"/>
        </w:rPr>
        <w:t>（十）、乙方或指定之履行辅助人于履行本合同或利用职务之便对甲方发生侵权行为时，由乙方与该行为人承担连</w:t>
      </w:r>
      <w:r>
        <w:rPr>
          <w:rFonts w:asciiTheme="minorEastAsia" w:hAnsiTheme="minorEastAsia" w:hint="eastAsia"/>
          <w:sz w:val="22"/>
          <w:szCs w:val="22"/>
        </w:rPr>
        <w:t>带责任。</w:t>
      </w:r>
    </w:p>
    <w:p w14:paraId="74E2DC70" w14:textId="77777777" w:rsidR="007E5CA6" w:rsidRDefault="00B75A11">
      <w:pPr>
        <w:spacing w:line="400" w:lineRule="exact"/>
        <w:ind w:leftChars="134" w:left="985" w:hangingChars="320" w:hanging="704"/>
        <w:rPr>
          <w:rFonts w:asciiTheme="minorEastAsia" w:hAnsiTheme="minorEastAsia"/>
          <w:sz w:val="22"/>
          <w:szCs w:val="22"/>
        </w:rPr>
      </w:pPr>
      <w:r>
        <w:rPr>
          <w:rFonts w:asciiTheme="minorEastAsia" w:hAnsiTheme="minorEastAsia" w:hint="eastAsia"/>
          <w:sz w:val="22"/>
          <w:szCs w:val="22"/>
        </w:rPr>
        <w:t>（十一）、乙方在甲方工厂工作的人员必须是正式员工，员工的各项社会保险由乙方负责为本公司员工投保，如果发生非甲方原因事故造成乙方人员伤亡的，由各自事故责任方全权负责。由于甲方原因事故造成乙方员工伤亡的，甲方对社会保险赔偿项目外的费用按照事故责任担当与乙方共同承担；如因乙方没有为员工投保社会保险而增加甲方赔偿责任的，由乙方就甲方增加的赔偿费用向甲方承担赔偿责任。</w:t>
      </w:r>
    </w:p>
    <w:p w14:paraId="598D4F17" w14:textId="77777777" w:rsidR="007E5CA6" w:rsidRDefault="00B75A11">
      <w:pPr>
        <w:spacing w:line="400" w:lineRule="exact"/>
        <w:ind w:leftChars="134" w:left="985" w:hangingChars="320" w:hanging="704"/>
        <w:rPr>
          <w:rFonts w:asciiTheme="minorEastAsia" w:hAnsiTheme="minorEastAsia"/>
          <w:sz w:val="22"/>
          <w:szCs w:val="22"/>
        </w:rPr>
      </w:pPr>
      <w:r>
        <w:rPr>
          <w:rFonts w:asciiTheme="minorEastAsia" w:hAnsiTheme="minorEastAsia" w:hint="eastAsia"/>
          <w:sz w:val="22"/>
          <w:szCs w:val="22"/>
        </w:rPr>
        <w:t>（十二）、乙方对本合约所约定回收物料的火灾危险特性已进行充分识别，在物料运输过程中采用防火、防晒、防潮、通风等安全措施，并存储于符合有关安全</w:t>
      </w:r>
      <w:r>
        <w:rPr>
          <w:rFonts w:asciiTheme="minorEastAsia" w:hAnsiTheme="minorEastAsia" w:hint="eastAsia"/>
          <w:sz w:val="22"/>
          <w:szCs w:val="22"/>
        </w:rPr>
        <w:t>法律法规、国家标准要求的贮存场所。</w:t>
      </w:r>
    </w:p>
    <w:p w14:paraId="1D66F4A4" w14:textId="77777777" w:rsidR="007E5CA6" w:rsidRDefault="007E5CA6">
      <w:pPr>
        <w:spacing w:line="400" w:lineRule="exact"/>
        <w:ind w:leftChars="134" w:left="985" w:hangingChars="320" w:hanging="704"/>
        <w:rPr>
          <w:rFonts w:asciiTheme="minorEastAsia" w:eastAsiaTheme="minorEastAsia" w:hAnsiTheme="minorEastAsia"/>
          <w:sz w:val="22"/>
          <w:szCs w:val="22"/>
        </w:rPr>
      </w:pPr>
    </w:p>
    <w:p w14:paraId="6A7408D2" w14:textId="77777777" w:rsidR="007E5CA6" w:rsidRDefault="00B75A11">
      <w:pPr>
        <w:pStyle w:val="a8"/>
        <w:numPr>
          <w:ilvl w:val="0"/>
          <w:numId w:val="1"/>
        </w:numPr>
        <w:tabs>
          <w:tab w:val="left" w:pos="360"/>
        </w:tabs>
        <w:spacing w:beforeLines="50" w:before="156" w:afterLines="50" w:after="156"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再生资源的计重</w:t>
      </w:r>
    </w:p>
    <w:p w14:paraId="000814DB" w14:textId="77777777" w:rsidR="007E5CA6" w:rsidRDefault="00B75A11">
      <w:pPr>
        <w:spacing w:line="400" w:lineRule="exact"/>
        <w:ind w:leftChars="202" w:left="424"/>
        <w:rPr>
          <w:rFonts w:asciiTheme="minorEastAsia" w:hAnsiTheme="minorEastAsia"/>
          <w:sz w:val="22"/>
          <w:szCs w:val="22"/>
        </w:rPr>
      </w:pPr>
      <w:r>
        <w:rPr>
          <w:rFonts w:asciiTheme="minorEastAsia" w:hAnsiTheme="minorEastAsia" w:hint="eastAsia"/>
          <w:sz w:val="22"/>
          <w:szCs w:val="22"/>
        </w:rPr>
        <w:t>再生资源的计重由甲方或者甲方书面认可的第三方厂商过磅称重，计重工具或者支付相关费用由乙方承担。</w:t>
      </w:r>
    </w:p>
    <w:p w14:paraId="4DB1F08A" w14:textId="77777777" w:rsidR="007E5CA6" w:rsidRDefault="00B75A11">
      <w:pPr>
        <w:pStyle w:val="a8"/>
        <w:numPr>
          <w:ilvl w:val="0"/>
          <w:numId w:val="1"/>
        </w:numPr>
        <w:tabs>
          <w:tab w:val="left" w:pos="360"/>
        </w:tabs>
        <w:spacing w:beforeLines="50" w:before="156" w:afterLines="50" w:after="156"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合同费用的结算</w:t>
      </w:r>
    </w:p>
    <w:p w14:paraId="203C2E29" w14:textId="77777777" w:rsidR="007E5CA6" w:rsidRDefault="00B75A11">
      <w:pPr>
        <w:spacing w:line="400" w:lineRule="exact"/>
        <w:ind w:leftChars="1" w:left="2" w:firstLineChars="200" w:firstLine="440"/>
        <w:rPr>
          <w:rFonts w:asciiTheme="minorEastAsia" w:eastAsiaTheme="minorEastAsia" w:hAnsiTheme="minorEastAsia"/>
          <w:sz w:val="22"/>
          <w:szCs w:val="22"/>
          <w:lang w:eastAsia="zh-TW"/>
        </w:rPr>
      </w:pPr>
      <w:r>
        <w:rPr>
          <w:rFonts w:asciiTheme="minorEastAsia" w:hAnsiTheme="minorEastAsia" w:hint="eastAsia"/>
          <w:sz w:val="22"/>
          <w:szCs w:val="22"/>
        </w:rPr>
        <w:t>（一）、结算依据：</w:t>
      </w:r>
    </w:p>
    <w:p w14:paraId="59A70F24" w14:textId="77777777" w:rsidR="007E5CA6" w:rsidRDefault="00B75A11">
      <w:pPr>
        <w:spacing w:line="400" w:lineRule="exact"/>
        <w:ind w:leftChars="576" w:left="1210" w:firstLineChars="5" w:firstLine="11"/>
        <w:rPr>
          <w:rFonts w:asciiTheme="minorEastAsia" w:eastAsiaTheme="minorEastAsia" w:hAnsiTheme="minorEastAsia"/>
          <w:sz w:val="22"/>
          <w:szCs w:val="22"/>
        </w:rPr>
      </w:pPr>
      <w:r>
        <w:rPr>
          <w:rFonts w:asciiTheme="minorEastAsia" w:hAnsiTheme="minorEastAsia" w:hint="eastAsia"/>
          <w:sz w:val="22"/>
          <w:szCs w:val="22"/>
        </w:rPr>
        <w:t>根据双方确认的《过磅明细单》（该明细单需经甲方行政人员、保安人员和乙方人员共同签字确认）的实际数量，甲方和乙方分别按照合同附件《再生资源列表、处理价格》及前述《过磅明细单》计算再生资源的处理费用。</w:t>
      </w:r>
    </w:p>
    <w:p w14:paraId="4118B110" w14:textId="77777777" w:rsidR="007E5CA6" w:rsidRDefault="00B75A11">
      <w:pPr>
        <w:spacing w:line="400" w:lineRule="exact"/>
        <w:ind w:leftChars="1" w:left="2" w:firstLineChars="200" w:firstLine="440"/>
        <w:rPr>
          <w:rFonts w:asciiTheme="minorEastAsia" w:eastAsiaTheme="minorEastAsia" w:hAnsiTheme="minorEastAsia"/>
          <w:sz w:val="22"/>
          <w:szCs w:val="22"/>
        </w:rPr>
      </w:pPr>
      <w:r>
        <w:rPr>
          <w:rFonts w:asciiTheme="minorEastAsia" w:hAnsiTheme="minorEastAsia" w:hint="eastAsia"/>
          <w:sz w:val="22"/>
          <w:szCs w:val="22"/>
        </w:rPr>
        <w:t>（二）、结算方式：</w:t>
      </w:r>
    </w:p>
    <w:p w14:paraId="72A632B7" w14:textId="77777777" w:rsidR="007E5CA6" w:rsidRDefault="00B75A11">
      <w:pPr>
        <w:spacing w:line="400" w:lineRule="exact"/>
        <w:ind w:leftChars="473" w:left="993" w:firstLineChars="100" w:firstLine="220"/>
        <w:rPr>
          <w:rFonts w:asciiTheme="minorEastAsia" w:eastAsiaTheme="minorEastAsia" w:hAnsiTheme="minorEastAsia"/>
          <w:sz w:val="22"/>
          <w:szCs w:val="22"/>
        </w:rPr>
      </w:pPr>
      <w:r>
        <w:rPr>
          <w:rFonts w:asciiTheme="minorEastAsia" w:hAnsiTheme="minorEastAsia" w:hint="eastAsia"/>
          <w:sz w:val="22"/>
          <w:szCs w:val="22"/>
        </w:rPr>
        <w:t>乙方应于每次回收再生资源前一次性将回收价款支付到甲方指定账户内。</w:t>
      </w:r>
    </w:p>
    <w:p w14:paraId="25AD0BE6" w14:textId="77777777" w:rsidR="007E5CA6" w:rsidRDefault="00B75A11" w:rsidP="0024090C">
      <w:pPr>
        <w:spacing w:line="400" w:lineRule="exact"/>
        <w:ind w:leftChars="211" w:left="1244" w:hangingChars="364" w:hanging="801"/>
        <w:rPr>
          <w:rFonts w:asciiTheme="minorEastAsia" w:eastAsiaTheme="minorEastAsia" w:hAnsiTheme="minorEastAsia"/>
          <w:sz w:val="22"/>
          <w:szCs w:val="22"/>
        </w:rPr>
      </w:pPr>
      <w:r>
        <w:rPr>
          <w:rFonts w:asciiTheme="minorEastAsia" w:hAnsiTheme="minorEastAsia" w:hint="eastAsia"/>
          <w:sz w:val="22"/>
          <w:szCs w:val="22"/>
        </w:rPr>
        <w:t>（三）、再生资源自甲方出厂所必须之物业监管等手续均由乙方自行办理，相关费用及应缴纳的关</w:t>
      </w:r>
      <w:r>
        <w:rPr>
          <w:rFonts w:asciiTheme="minorEastAsia" w:hAnsiTheme="minorEastAsia" w:hint="eastAsia"/>
          <w:sz w:val="22"/>
          <w:szCs w:val="22"/>
        </w:rPr>
        <w:lastRenderedPageBreak/>
        <w:t>税、增值税由乙方承担，涉及到环保方面之申请手续，亦由乙方承担办理。乙方逾期处理甲方再生资源的，应依全部再生资源处理费用的</w:t>
      </w:r>
      <w:r>
        <w:rPr>
          <w:rFonts w:asciiTheme="minorEastAsia" w:hAnsiTheme="minorEastAsia" w:hint="eastAsia"/>
          <w:sz w:val="22"/>
          <w:szCs w:val="22"/>
        </w:rPr>
        <w:t xml:space="preserve"> </w:t>
      </w:r>
      <w:r>
        <w:rPr>
          <w:rFonts w:asciiTheme="minorEastAsia" w:hAnsiTheme="minorEastAsia" w:hint="eastAsia"/>
          <w:sz w:val="22"/>
          <w:szCs w:val="22"/>
        </w:rPr>
        <w:t>按日向甲方支付违约金。</w:t>
      </w:r>
    </w:p>
    <w:p w14:paraId="709A3726" w14:textId="77777777" w:rsidR="007E5CA6" w:rsidRDefault="00B75A11" w:rsidP="0024090C">
      <w:pPr>
        <w:spacing w:line="400" w:lineRule="exact"/>
        <w:ind w:leftChars="211" w:left="1244" w:hangingChars="364" w:hanging="801"/>
        <w:rPr>
          <w:rFonts w:ascii="SimSun" w:hAnsi="SimSun"/>
          <w:kern w:val="0"/>
          <w:sz w:val="22"/>
          <w:szCs w:val="22"/>
        </w:rPr>
      </w:pPr>
      <w:r>
        <w:rPr>
          <w:rFonts w:asciiTheme="minorEastAsia" w:hAnsiTheme="minorEastAsia" w:hint="eastAsia"/>
          <w:sz w:val="22"/>
          <w:szCs w:val="22"/>
        </w:rPr>
        <w:t>（四）、</w:t>
      </w:r>
      <w:r>
        <w:rPr>
          <w:rFonts w:ascii="SimSun" w:hAnsi="SimSun" w:hint="eastAsia"/>
          <w:sz w:val="22"/>
          <w:szCs w:val="22"/>
        </w:rPr>
        <w:t>乙方与甲方首次签约成功后，应在</w:t>
      </w:r>
      <w:r>
        <w:rPr>
          <w:rFonts w:ascii="SimSun" w:hAnsi="SimSun"/>
          <w:sz w:val="22"/>
          <w:szCs w:val="22"/>
          <w:u w:val="single"/>
        </w:rPr>
        <w:t xml:space="preserve"> </w:t>
      </w:r>
      <w:r>
        <w:rPr>
          <w:rFonts w:ascii="SimSun" w:hAnsi="SimSun" w:hint="eastAsia"/>
          <w:sz w:val="22"/>
          <w:szCs w:val="22"/>
          <w:u w:val="single"/>
        </w:rPr>
        <w:t xml:space="preserve"> </w:t>
      </w:r>
      <w:r>
        <w:rPr>
          <w:rFonts w:ascii="SimSun" w:hAnsi="SimSun" w:hint="eastAsia"/>
          <w:sz w:val="22"/>
          <w:szCs w:val="22"/>
          <w:u w:val="single"/>
        </w:rPr>
        <w:t xml:space="preserve"> </w:t>
      </w:r>
      <w:r>
        <w:rPr>
          <w:rFonts w:ascii="SimSun" w:hAnsi="SimSun" w:hint="eastAsia"/>
          <w:sz w:val="22"/>
          <w:szCs w:val="22"/>
        </w:rPr>
        <w:t>日内向甲方提供现金人民币</w:t>
      </w:r>
      <w:r w:rsidRPr="0024090C">
        <w:rPr>
          <w:rFonts w:ascii="SimSun" w:hAnsi="SimSun" w:hint="eastAsia"/>
          <w:sz w:val="22"/>
          <w:szCs w:val="22"/>
          <w:u w:val="single"/>
        </w:rPr>
        <w:t xml:space="preserve">   </w:t>
      </w:r>
      <w:r>
        <w:rPr>
          <w:rFonts w:ascii="SimSun" w:hAnsi="SimSun" w:hint="eastAsia"/>
          <w:sz w:val="22"/>
          <w:szCs w:val="22"/>
        </w:rPr>
        <w:t>作为保证金，如</w:t>
      </w:r>
      <w:r>
        <w:rPr>
          <w:rFonts w:ascii="SimSun" w:hAnsi="SimSun" w:hint="eastAsia"/>
          <w:kern w:val="0"/>
          <w:sz w:val="22"/>
          <w:szCs w:val="22"/>
        </w:rPr>
        <w:t>乙方逾期未付款或存在其他应支付甲方违约金或赔偿金的情形或任何因乙方在履行本合约或与甲方签订的其他合约期间的违约违法行为致使甲方遭受损失时</w:t>
      </w:r>
      <w:r>
        <w:rPr>
          <w:rFonts w:ascii="SimSun" w:hAnsi="SimSun" w:hint="eastAsia"/>
          <w:sz w:val="22"/>
          <w:szCs w:val="22"/>
        </w:rPr>
        <w:t>，</w:t>
      </w:r>
      <w:r>
        <w:rPr>
          <w:rFonts w:ascii="SimSun" w:hAnsi="SimSun" w:hint="eastAsia"/>
          <w:kern w:val="0"/>
          <w:sz w:val="22"/>
          <w:szCs w:val="22"/>
        </w:rPr>
        <w:t>包括但不限于行政罚款等均由乙方向甲方承担赔偿责任，甲方</w:t>
      </w:r>
      <w:r>
        <w:rPr>
          <w:rFonts w:ascii="SimSun" w:hAnsi="SimSun" w:hint="eastAsia"/>
          <w:kern w:val="0"/>
          <w:sz w:val="22"/>
          <w:szCs w:val="22"/>
        </w:rPr>
        <w:t>可自乙方履约保证金中直接扣除。保证金扣除后，乙方应于三天内及时向甲方补足该保证金。乙方逾期未补足保证金的，甲方可将再生资源的处理交由第三方厂商进行，并有权解除本合约。合同到期如不续签，乙方不存在逾期未付款或其他应支付甲方违约金或赔偿金的情形，保证金于一个月内退回乙方账户。</w:t>
      </w:r>
    </w:p>
    <w:p w14:paraId="14A07FB4" w14:textId="77777777" w:rsidR="007E5CA6" w:rsidRDefault="00B75A11">
      <w:pPr>
        <w:pStyle w:val="a8"/>
        <w:numPr>
          <w:ilvl w:val="0"/>
          <w:numId w:val="1"/>
        </w:numPr>
        <w:tabs>
          <w:tab w:val="left" w:pos="360"/>
        </w:tabs>
        <w:spacing w:beforeLines="50" w:before="156" w:afterLines="50" w:after="156" w:line="400" w:lineRule="exact"/>
        <w:ind w:leftChars="0"/>
        <w:rPr>
          <w:rFonts w:asciiTheme="minorEastAsia" w:eastAsiaTheme="minorEastAsia" w:hAnsiTheme="minorEastAsia"/>
          <w:b/>
          <w:sz w:val="22"/>
          <w:szCs w:val="22"/>
        </w:rPr>
      </w:pPr>
      <w:r>
        <w:rPr>
          <w:rFonts w:asciiTheme="minorEastAsia" w:hAnsiTheme="minorEastAsia" w:hint="eastAsia"/>
          <w:b/>
          <w:sz w:val="22"/>
          <w:szCs w:val="22"/>
        </w:rPr>
        <w:t>危险责任承担</w:t>
      </w:r>
    </w:p>
    <w:p w14:paraId="1079C3ED" w14:textId="77777777" w:rsidR="007E5CA6" w:rsidRDefault="00B75A11">
      <w:pPr>
        <w:spacing w:line="400" w:lineRule="exact"/>
        <w:ind w:left="426" w:hanging="2"/>
        <w:rPr>
          <w:rFonts w:asciiTheme="minorEastAsia" w:eastAsiaTheme="minorEastAsia" w:hAnsiTheme="minorEastAsia"/>
          <w:sz w:val="22"/>
          <w:szCs w:val="22"/>
        </w:rPr>
      </w:pPr>
      <w:r>
        <w:rPr>
          <w:rFonts w:asciiTheme="minorEastAsia" w:hAnsiTheme="minorEastAsia" w:hint="eastAsia"/>
          <w:sz w:val="22"/>
          <w:szCs w:val="22"/>
        </w:rPr>
        <w:t>在再生资源装车后，所有责任由乙方承担。</w:t>
      </w:r>
    </w:p>
    <w:p w14:paraId="68C34327" w14:textId="77777777" w:rsidR="007E5CA6" w:rsidRDefault="00B75A11">
      <w:pPr>
        <w:pStyle w:val="a8"/>
        <w:numPr>
          <w:ilvl w:val="0"/>
          <w:numId w:val="1"/>
        </w:numPr>
        <w:tabs>
          <w:tab w:val="left" w:pos="360"/>
        </w:tabs>
        <w:spacing w:beforeLines="50" w:before="156" w:afterLines="50" w:after="156"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违约责任</w:t>
      </w:r>
    </w:p>
    <w:p w14:paraId="4351E5EB" w14:textId="77777777" w:rsidR="007E5CA6" w:rsidRDefault="00B75A11">
      <w:pPr>
        <w:pStyle w:val="2"/>
        <w:spacing w:line="400" w:lineRule="exact"/>
        <w:ind w:leftChars="227" w:left="917" w:hangingChars="200" w:hanging="440"/>
        <w:rPr>
          <w:rFonts w:asciiTheme="minorEastAsia" w:eastAsiaTheme="minorEastAsia" w:hAnsiTheme="minorEastAsia"/>
          <w:sz w:val="22"/>
          <w:szCs w:val="22"/>
        </w:rPr>
      </w:pPr>
      <w:r>
        <w:rPr>
          <w:rFonts w:asciiTheme="minorEastAsia" w:eastAsia="SimSun" w:hAnsiTheme="minorEastAsia" w:hint="eastAsia"/>
          <w:sz w:val="22"/>
          <w:szCs w:val="22"/>
        </w:rPr>
        <w:t>一、乙方违反本合同的规定，乙方应向甲方支付违约金人民币</w:t>
      </w:r>
      <w:r>
        <w:rPr>
          <w:rFonts w:asciiTheme="minorEastAsia" w:eastAsia="SimSun" w:hAnsiTheme="minorEastAsia" w:hint="eastAsia"/>
          <w:sz w:val="22"/>
          <w:szCs w:val="22"/>
          <w:lang w:val="en-US"/>
        </w:rPr>
        <w:t xml:space="preserve">  </w:t>
      </w:r>
      <w:r>
        <w:rPr>
          <w:rFonts w:asciiTheme="minorEastAsia" w:eastAsia="SimSun" w:hAnsiTheme="minorEastAsia" w:hint="eastAsia"/>
          <w:sz w:val="22"/>
          <w:szCs w:val="22"/>
        </w:rPr>
        <w:t>元</w:t>
      </w:r>
      <w:r>
        <w:rPr>
          <w:rFonts w:asciiTheme="minorEastAsia" w:eastAsia="SimSun" w:hAnsiTheme="minorEastAsia"/>
          <w:sz w:val="22"/>
          <w:szCs w:val="22"/>
        </w:rPr>
        <w:t>/</w:t>
      </w:r>
      <w:r>
        <w:rPr>
          <w:rFonts w:asciiTheme="minorEastAsia" w:eastAsia="SimSun" w:hAnsiTheme="minorEastAsia" w:hint="eastAsia"/>
          <w:sz w:val="22"/>
          <w:szCs w:val="22"/>
        </w:rPr>
        <w:t>次，且甲方有权要求乙方停止并纠正违约行为，造成甲方经济以及其他方面损失的，乙方应予以赔偿。</w:t>
      </w:r>
    </w:p>
    <w:p w14:paraId="4059A2C5" w14:textId="77777777" w:rsidR="007E5CA6" w:rsidRDefault="00B75A11">
      <w:pPr>
        <w:pStyle w:val="2"/>
        <w:spacing w:line="400" w:lineRule="exact"/>
        <w:ind w:leftChars="227" w:left="917" w:hangingChars="200" w:hanging="440"/>
        <w:rPr>
          <w:rFonts w:asciiTheme="minorEastAsia" w:eastAsiaTheme="minorEastAsia" w:hAnsiTheme="minorEastAsia"/>
          <w:sz w:val="22"/>
          <w:szCs w:val="22"/>
        </w:rPr>
      </w:pPr>
      <w:r>
        <w:rPr>
          <w:rFonts w:asciiTheme="minorEastAsia" w:eastAsia="SimSun" w:hAnsiTheme="minorEastAsia" w:hint="eastAsia"/>
          <w:sz w:val="22"/>
          <w:szCs w:val="22"/>
        </w:rPr>
        <w:t>二、乙方保证其具有履行本合同的相关资质，若因乙方不具有相关资质导致甲方承担任何民事、行政、刑事责任，包括但不限于被相关机关处罚（包括但不限于罚款等），乙方应全额赔偿甲方前述损失。</w:t>
      </w:r>
    </w:p>
    <w:p w14:paraId="64640591" w14:textId="77777777" w:rsidR="007E5CA6" w:rsidRDefault="00B75A11">
      <w:pPr>
        <w:spacing w:line="400" w:lineRule="exact"/>
        <w:ind w:leftChars="229" w:left="921" w:hangingChars="200" w:hanging="440"/>
        <w:rPr>
          <w:rFonts w:asciiTheme="minorEastAsia" w:eastAsiaTheme="minorEastAsia" w:hAnsiTheme="minorEastAsia"/>
          <w:sz w:val="22"/>
          <w:szCs w:val="22"/>
        </w:rPr>
      </w:pPr>
      <w:r>
        <w:rPr>
          <w:rFonts w:asciiTheme="minorEastAsia" w:eastAsiaTheme="minorEastAsia" w:hAnsiTheme="minorEastAsia" w:cs="Arial" w:hint="eastAsia"/>
          <w:sz w:val="22"/>
          <w:szCs w:val="22"/>
          <w:lang w:val="zh-TW"/>
        </w:rPr>
        <w:t>三、</w:t>
      </w:r>
      <w:r>
        <w:rPr>
          <w:rFonts w:asciiTheme="minorEastAsia" w:hAnsiTheme="minorEastAsia" w:hint="eastAsia"/>
          <w:sz w:val="22"/>
          <w:szCs w:val="22"/>
        </w:rPr>
        <w:t>乙方无正当理由</w:t>
      </w:r>
      <w:r>
        <w:rPr>
          <w:rFonts w:asciiTheme="minorEastAsia" w:hAnsiTheme="minorEastAsia" w:cs="Arial" w:hint="eastAsia"/>
          <w:sz w:val="22"/>
          <w:szCs w:val="22"/>
        </w:rPr>
        <w:t>撤销、提前终止或者解除</w:t>
      </w:r>
      <w:r>
        <w:rPr>
          <w:rFonts w:asciiTheme="minorEastAsia" w:hAnsiTheme="minorEastAsia" w:hint="eastAsia"/>
          <w:sz w:val="22"/>
          <w:szCs w:val="22"/>
        </w:rPr>
        <w:t>合同，造成甲方损失的，应赔偿由此给甲方造成的实际损失。</w:t>
      </w:r>
      <w:r>
        <w:rPr>
          <w:rFonts w:asciiTheme="minorEastAsia" w:hAnsiTheme="minorEastAsia" w:cs="Arial" w:hint="eastAsia"/>
          <w:sz w:val="22"/>
          <w:szCs w:val="22"/>
        </w:rPr>
        <w:t>乙方违反本合同任一条款时，除应赔偿甲方之损失外，甲方得不经通知终止本合同。</w:t>
      </w:r>
    </w:p>
    <w:p w14:paraId="05BB41A0" w14:textId="77777777" w:rsidR="007E5CA6" w:rsidRDefault="00B75A11">
      <w:pPr>
        <w:spacing w:line="400" w:lineRule="exact"/>
        <w:ind w:leftChars="229" w:left="921" w:hangingChars="200" w:hanging="440"/>
        <w:rPr>
          <w:rFonts w:asciiTheme="minorEastAsia" w:eastAsiaTheme="minorEastAsia" w:hAnsiTheme="minorEastAsia" w:cs="Arial"/>
          <w:sz w:val="22"/>
          <w:szCs w:val="22"/>
          <w:lang w:val="zh-TW"/>
        </w:rPr>
      </w:pPr>
      <w:r>
        <w:rPr>
          <w:rFonts w:asciiTheme="minorEastAsia" w:hAnsiTheme="minorEastAsia" w:cs="Arial" w:hint="eastAsia"/>
          <w:sz w:val="22"/>
          <w:szCs w:val="22"/>
          <w:lang w:val="zh-TW"/>
        </w:rPr>
        <w:t>四、乙方未依约定清运或延期提交</w:t>
      </w:r>
      <w:r>
        <w:rPr>
          <w:rFonts w:asciiTheme="minorEastAsia" w:hAnsiTheme="minorEastAsia" w:hint="eastAsia"/>
          <w:sz w:val="22"/>
          <w:szCs w:val="22"/>
        </w:rPr>
        <w:t>再生资源</w:t>
      </w:r>
      <w:r>
        <w:rPr>
          <w:rFonts w:asciiTheme="minorEastAsia" w:hAnsiTheme="minorEastAsia" w:cs="Arial" w:hint="eastAsia"/>
          <w:sz w:val="22"/>
          <w:szCs w:val="22"/>
          <w:lang w:val="zh-TW"/>
        </w:rPr>
        <w:t>处理单据</w:t>
      </w:r>
      <w:r>
        <w:rPr>
          <w:rFonts w:asciiTheme="minorEastAsia" w:hAnsiTheme="minorEastAsia" w:hint="eastAsia"/>
          <w:sz w:val="22"/>
          <w:szCs w:val="22"/>
        </w:rPr>
        <w:t>，</w:t>
      </w:r>
      <w:r>
        <w:rPr>
          <w:rFonts w:asciiTheme="minorEastAsia" w:hAnsiTheme="minorEastAsia" w:cs="Arial" w:hint="eastAsia"/>
          <w:sz w:val="22"/>
          <w:szCs w:val="22"/>
          <w:lang w:val="zh-TW"/>
        </w:rPr>
        <w:t>应按每天壹仟元人民币向甲方支付违约金。在甲方通知清运</w:t>
      </w:r>
      <w:r>
        <w:rPr>
          <w:rFonts w:asciiTheme="minorEastAsia" w:hAnsiTheme="minorEastAsia" w:cs="Arial"/>
          <w:sz w:val="22"/>
          <w:szCs w:val="22"/>
          <w:lang w:val="zh-TW"/>
        </w:rPr>
        <w:t>7</w:t>
      </w:r>
      <w:r>
        <w:rPr>
          <w:rFonts w:asciiTheme="minorEastAsia" w:hAnsiTheme="minorEastAsia" w:cs="Arial" w:hint="eastAsia"/>
          <w:sz w:val="22"/>
          <w:szCs w:val="22"/>
          <w:lang w:val="zh-TW"/>
        </w:rPr>
        <w:t>日后</w:t>
      </w:r>
      <w:r>
        <w:rPr>
          <w:rFonts w:asciiTheme="minorEastAsia" w:hAnsiTheme="minorEastAsia" w:hint="eastAsia"/>
          <w:sz w:val="22"/>
          <w:szCs w:val="22"/>
        </w:rPr>
        <w:t>，</w:t>
      </w:r>
      <w:r>
        <w:rPr>
          <w:rFonts w:asciiTheme="minorEastAsia" w:hAnsiTheme="minorEastAsia" w:cs="Arial" w:hint="eastAsia"/>
          <w:sz w:val="22"/>
          <w:szCs w:val="22"/>
          <w:lang w:val="zh-TW"/>
        </w:rPr>
        <w:t>仍未清运甲方</w:t>
      </w:r>
      <w:r>
        <w:rPr>
          <w:rFonts w:asciiTheme="minorEastAsia" w:hAnsiTheme="minorEastAsia" w:hint="eastAsia"/>
          <w:sz w:val="22"/>
          <w:szCs w:val="22"/>
        </w:rPr>
        <w:t>再生资源，</w:t>
      </w:r>
      <w:r>
        <w:rPr>
          <w:rFonts w:asciiTheme="minorEastAsia" w:hAnsiTheme="minorEastAsia" w:cs="Arial" w:hint="eastAsia"/>
          <w:sz w:val="22"/>
          <w:szCs w:val="22"/>
          <w:lang w:val="zh-TW"/>
        </w:rPr>
        <w:t>甲方可择一行使或同时行使以下权利</w:t>
      </w:r>
      <w:r>
        <w:rPr>
          <w:rFonts w:asciiTheme="minorEastAsia" w:hAnsiTheme="minorEastAsia" w:cs="Arial" w:hint="eastAsia"/>
          <w:sz w:val="22"/>
          <w:szCs w:val="22"/>
          <w:lang w:val="zh-TW"/>
        </w:rPr>
        <w:t>：第一、解除或终止合同；第二、向乙方请求支付违约金壹万元人民币；第三、将</w:t>
      </w:r>
      <w:r>
        <w:rPr>
          <w:rFonts w:asciiTheme="minorEastAsia" w:hAnsiTheme="minorEastAsia" w:hint="eastAsia"/>
          <w:sz w:val="22"/>
          <w:szCs w:val="22"/>
        </w:rPr>
        <w:t>再生资源</w:t>
      </w:r>
      <w:r>
        <w:rPr>
          <w:rFonts w:asciiTheme="minorEastAsia" w:hAnsiTheme="minorEastAsia" w:cs="Arial" w:hint="eastAsia"/>
          <w:sz w:val="22"/>
          <w:szCs w:val="22"/>
          <w:lang w:val="zh-TW"/>
        </w:rPr>
        <w:t>交由其他方回收</w:t>
      </w:r>
      <w:r>
        <w:rPr>
          <w:rFonts w:asciiTheme="minorEastAsia" w:hAnsiTheme="minorEastAsia" w:hint="eastAsia"/>
          <w:sz w:val="22"/>
          <w:szCs w:val="22"/>
        </w:rPr>
        <w:t>，</w:t>
      </w:r>
      <w:r>
        <w:rPr>
          <w:rFonts w:asciiTheme="minorEastAsia" w:hAnsiTheme="minorEastAsia" w:cs="Arial" w:hint="eastAsia"/>
          <w:sz w:val="22"/>
          <w:szCs w:val="22"/>
          <w:lang w:val="zh-TW"/>
        </w:rPr>
        <w:t>由此产生的费用由乙方承担。</w:t>
      </w:r>
    </w:p>
    <w:p w14:paraId="2989EBB2" w14:textId="77777777" w:rsidR="007E5CA6" w:rsidRDefault="00B75A11">
      <w:pPr>
        <w:pStyle w:val="a8"/>
        <w:numPr>
          <w:ilvl w:val="0"/>
          <w:numId w:val="1"/>
        </w:numPr>
        <w:tabs>
          <w:tab w:val="left" w:pos="360"/>
        </w:tabs>
        <w:spacing w:beforeLines="50" w:before="156" w:afterLines="50" w:after="156"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清廉条款</w:t>
      </w:r>
    </w:p>
    <w:p w14:paraId="11FB1D9C" w14:textId="77777777" w:rsidR="007E5CA6" w:rsidRDefault="00B75A11">
      <w:pPr>
        <w:spacing w:line="400" w:lineRule="exact"/>
        <w:ind w:leftChars="229" w:left="921" w:hangingChars="200" w:hanging="440"/>
        <w:rPr>
          <w:rFonts w:asciiTheme="minorEastAsia" w:eastAsiaTheme="minorEastAsia" w:hAnsiTheme="minorEastAsia" w:cs="Arial"/>
          <w:sz w:val="22"/>
          <w:szCs w:val="22"/>
          <w:lang w:val="zh-TW"/>
        </w:rPr>
      </w:pPr>
      <w:r>
        <w:rPr>
          <w:rFonts w:asciiTheme="minorEastAsia" w:hAnsiTheme="minorEastAsia" w:hint="eastAsia"/>
          <w:sz w:val="22"/>
          <w:szCs w:val="22"/>
        </w:rPr>
        <w:t>一、</w:t>
      </w:r>
      <w:r>
        <w:rPr>
          <w:rFonts w:asciiTheme="minorEastAsia" w:hAnsiTheme="minorEastAsia" w:cs="Arial" w:hint="eastAsia"/>
          <w:sz w:val="22"/>
          <w:szCs w:val="22"/>
          <w:lang w:val="zh-TW"/>
        </w:rPr>
        <w:t>乙方保证绝无且将不以直接或间接期约、贿赂、给予佣金、抽成费、中介费、回扣金、馈赠或其它不正当利益等方式</w:t>
      </w:r>
      <w:r>
        <w:rPr>
          <w:rFonts w:asciiTheme="minorEastAsia" w:hAnsiTheme="minorEastAsia" w:cs="Arial" w:hint="eastAsia"/>
          <w:sz w:val="22"/>
          <w:szCs w:val="22"/>
        </w:rPr>
        <w:t>，</w:t>
      </w:r>
      <w:r>
        <w:rPr>
          <w:rFonts w:asciiTheme="minorEastAsia" w:hAnsiTheme="minorEastAsia" w:cs="Arial" w:hint="eastAsia"/>
          <w:sz w:val="22"/>
          <w:szCs w:val="22"/>
          <w:lang w:val="zh-TW"/>
        </w:rPr>
        <w:t>诱使甲方之相关董事、经理人、员工、代理人或代表与其订定契约或为不当之影响。</w:t>
      </w:r>
    </w:p>
    <w:p w14:paraId="58FF1DD3" w14:textId="77777777" w:rsidR="007E5CA6" w:rsidRDefault="00B75A11">
      <w:pPr>
        <w:spacing w:line="400" w:lineRule="exact"/>
        <w:ind w:leftChars="229" w:left="921" w:hangingChars="200" w:hanging="440"/>
        <w:rPr>
          <w:rFonts w:asciiTheme="minorEastAsia" w:eastAsiaTheme="minorEastAsia" w:hAnsiTheme="minorEastAsia" w:cs="Arial"/>
          <w:sz w:val="22"/>
          <w:szCs w:val="22"/>
          <w:lang w:val="zh-TW"/>
        </w:rPr>
      </w:pPr>
      <w:r>
        <w:rPr>
          <w:rFonts w:asciiTheme="minorEastAsia" w:hAnsiTheme="minorEastAsia" w:hint="eastAsia"/>
          <w:sz w:val="22"/>
          <w:szCs w:val="22"/>
        </w:rPr>
        <w:t>二、</w:t>
      </w:r>
      <w:r>
        <w:rPr>
          <w:rFonts w:asciiTheme="minorEastAsia" w:hAnsiTheme="minorEastAsia" w:cs="Arial" w:hint="eastAsia"/>
          <w:sz w:val="22"/>
          <w:szCs w:val="22"/>
          <w:lang w:val="zh-TW"/>
        </w:rPr>
        <w:t>若乙方有任何违反上述保证情事者，甲方有权终止本合约，且同时乙方应即支付甲方与合同价款相同币别之壹佰万元，并且赔偿甲方因此所受之一切损失</w:t>
      </w:r>
      <w:r>
        <w:rPr>
          <w:rFonts w:asciiTheme="minorEastAsia" w:hAnsiTheme="minorEastAsia" w:cs="Arial"/>
          <w:sz w:val="22"/>
          <w:szCs w:val="22"/>
          <w:lang w:val="zh-TW"/>
        </w:rPr>
        <w:t>(</w:t>
      </w:r>
      <w:r>
        <w:rPr>
          <w:rFonts w:asciiTheme="minorEastAsia" w:hAnsiTheme="minorEastAsia" w:cs="Arial" w:hint="eastAsia"/>
          <w:sz w:val="22"/>
          <w:szCs w:val="22"/>
          <w:lang w:val="zh-TW"/>
        </w:rPr>
        <w:t>含律师费</w:t>
      </w:r>
      <w:r>
        <w:rPr>
          <w:rFonts w:asciiTheme="minorEastAsia" w:hAnsiTheme="minorEastAsia" w:cs="Arial"/>
          <w:sz w:val="22"/>
          <w:szCs w:val="22"/>
          <w:lang w:val="zh-TW"/>
        </w:rPr>
        <w:t>)</w:t>
      </w:r>
      <w:r>
        <w:rPr>
          <w:rFonts w:asciiTheme="minorEastAsia" w:hAnsiTheme="minorEastAsia" w:cs="Arial" w:hint="eastAsia"/>
          <w:sz w:val="22"/>
          <w:szCs w:val="22"/>
          <w:lang w:val="zh-TW"/>
        </w:rPr>
        <w:t>。</w:t>
      </w:r>
    </w:p>
    <w:p w14:paraId="3D3BEE5E" w14:textId="77777777" w:rsidR="007E5CA6" w:rsidRDefault="00B75A11">
      <w:pPr>
        <w:spacing w:line="400" w:lineRule="exact"/>
        <w:ind w:leftChars="1" w:left="2" w:firstLineChars="200" w:firstLine="440"/>
        <w:rPr>
          <w:rFonts w:asciiTheme="minorEastAsia" w:eastAsiaTheme="minorEastAsia" w:hAnsiTheme="minorEastAsia" w:cs="New Gulim"/>
          <w:sz w:val="22"/>
          <w:szCs w:val="22"/>
          <w:lang w:val="zh-TW"/>
        </w:rPr>
      </w:pPr>
      <w:r>
        <w:rPr>
          <w:rFonts w:asciiTheme="minorEastAsia" w:hAnsiTheme="minorEastAsia" w:cs="Arial" w:hint="eastAsia"/>
          <w:sz w:val="22"/>
          <w:szCs w:val="22"/>
          <w:lang w:val="zh-TW"/>
        </w:rPr>
        <w:t>三、本条规定不因本合同的终止或期满而失其效</w:t>
      </w:r>
      <w:r>
        <w:rPr>
          <w:rFonts w:asciiTheme="minorEastAsia" w:hAnsiTheme="minorEastAsia" w:cs="New Gulim" w:hint="eastAsia"/>
          <w:sz w:val="22"/>
          <w:szCs w:val="22"/>
          <w:lang w:val="zh-TW"/>
        </w:rPr>
        <w:t>力。</w:t>
      </w:r>
    </w:p>
    <w:p w14:paraId="08B0B72A" w14:textId="77777777" w:rsidR="007E5CA6" w:rsidRDefault="00B75A11">
      <w:pPr>
        <w:pStyle w:val="a8"/>
        <w:numPr>
          <w:ilvl w:val="0"/>
          <w:numId w:val="1"/>
        </w:numPr>
        <w:tabs>
          <w:tab w:val="left" w:pos="360"/>
        </w:tabs>
        <w:spacing w:beforeLines="50" w:before="156" w:afterLines="50" w:after="156"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责任商业联盟行为准则</w:t>
      </w:r>
      <w:r>
        <w:rPr>
          <w:rFonts w:asciiTheme="minorEastAsia" w:hAnsiTheme="minorEastAsia"/>
          <w:b/>
          <w:sz w:val="22"/>
          <w:szCs w:val="22"/>
        </w:rPr>
        <w:t>(Responsible Business Alliance Code of Conduct, RBA Code of Conduct )</w:t>
      </w:r>
    </w:p>
    <w:p w14:paraId="7FDC2503" w14:textId="77777777" w:rsidR="007E5CA6" w:rsidRDefault="00B75A11">
      <w:pPr>
        <w:spacing w:line="400" w:lineRule="exact"/>
        <w:ind w:leftChars="202" w:left="437" w:hangingChars="6" w:hanging="13"/>
        <w:rPr>
          <w:rFonts w:asciiTheme="minorEastAsia" w:eastAsiaTheme="minorEastAsia" w:hAnsiTheme="minorEastAsia"/>
          <w:sz w:val="22"/>
          <w:szCs w:val="22"/>
          <w:lang w:eastAsia="zh-TW"/>
        </w:rPr>
      </w:pPr>
      <w:r>
        <w:rPr>
          <w:rFonts w:asciiTheme="minorEastAsia" w:hAnsiTheme="minorEastAsia" w:hint="eastAsia"/>
          <w:sz w:val="22"/>
          <w:szCs w:val="22"/>
        </w:rPr>
        <w:t>为符合电子产业之社会责任感行为规范，乙方须参照责任商业联盟行为准则，进行企业内部的下述管理要求：</w:t>
      </w:r>
      <w:r>
        <w:rPr>
          <w:rFonts w:asciiTheme="minorEastAsia" w:hAnsiTheme="minorEastAsia"/>
          <w:sz w:val="22"/>
          <w:szCs w:val="22"/>
        </w:rPr>
        <w:t>(</w:t>
      </w:r>
      <w:r>
        <w:rPr>
          <w:rFonts w:asciiTheme="minorEastAsia" w:hAnsiTheme="minorEastAsia" w:hint="eastAsia"/>
          <w:sz w:val="22"/>
          <w:szCs w:val="22"/>
        </w:rPr>
        <w:t>详细内容规范，请参见</w:t>
      </w:r>
      <w:hyperlink r:id="rId9" w:history="1">
        <w:r>
          <w:rPr>
            <w:rFonts w:asciiTheme="minorEastAsia" w:hAnsiTheme="minorEastAsia"/>
            <w:sz w:val="22"/>
            <w:szCs w:val="22"/>
          </w:rPr>
          <w:t>http://www.respons</w:t>
        </w:r>
        <w:r>
          <w:rPr>
            <w:rFonts w:asciiTheme="minorEastAsia" w:hAnsiTheme="minorEastAsia"/>
            <w:sz w:val="22"/>
            <w:szCs w:val="22"/>
          </w:rPr>
          <w:t>iblebusiness.org/standards/code-of-conduct/</w:t>
        </w:r>
      </w:hyperlink>
      <w:r>
        <w:rPr>
          <w:rFonts w:asciiTheme="minorEastAsia" w:hAnsiTheme="minorEastAsia"/>
          <w:sz w:val="22"/>
          <w:szCs w:val="22"/>
        </w:rPr>
        <w:t>)</w:t>
      </w:r>
    </w:p>
    <w:p w14:paraId="5E420FD5" w14:textId="77777777" w:rsidR="007E5CA6" w:rsidRDefault="00B75A11">
      <w:pPr>
        <w:spacing w:line="400" w:lineRule="exact"/>
        <w:ind w:firstLineChars="200" w:firstLine="440"/>
        <w:rPr>
          <w:rFonts w:asciiTheme="minorEastAsia" w:eastAsiaTheme="minorEastAsia" w:hAnsiTheme="minorEastAsia"/>
          <w:sz w:val="22"/>
          <w:szCs w:val="22"/>
        </w:rPr>
      </w:pPr>
      <w:r>
        <w:rPr>
          <w:rFonts w:asciiTheme="minorEastAsia" w:hAnsiTheme="minorEastAsia" w:hint="eastAsia"/>
          <w:sz w:val="22"/>
          <w:szCs w:val="22"/>
        </w:rPr>
        <w:t>（一）</w:t>
      </w:r>
      <w:r>
        <w:rPr>
          <w:rFonts w:asciiTheme="minorEastAsia" w:hAnsiTheme="minorEastAsia"/>
          <w:sz w:val="22"/>
          <w:szCs w:val="22"/>
        </w:rPr>
        <w:t> </w:t>
      </w:r>
      <w:r>
        <w:rPr>
          <w:rFonts w:asciiTheme="minorEastAsia" w:hAnsiTheme="minorEastAsia" w:hint="eastAsia"/>
          <w:sz w:val="22"/>
          <w:szCs w:val="22"/>
        </w:rPr>
        <w:t>劳工：维护与尊重劳工基本人权</w:t>
      </w:r>
    </w:p>
    <w:p w14:paraId="015F3070" w14:textId="77777777" w:rsidR="007E5CA6" w:rsidRDefault="00B75A11">
      <w:pPr>
        <w:spacing w:line="400" w:lineRule="exact"/>
        <w:ind w:firstLineChars="200" w:firstLine="440"/>
        <w:rPr>
          <w:rFonts w:asciiTheme="minorEastAsia" w:eastAsiaTheme="minorEastAsia" w:hAnsiTheme="minorEastAsia"/>
          <w:sz w:val="22"/>
          <w:szCs w:val="22"/>
        </w:rPr>
      </w:pPr>
      <w:r>
        <w:rPr>
          <w:rFonts w:asciiTheme="minorEastAsia" w:hAnsiTheme="minorEastAsia" w:hint="eastAsia"/>
          <w:sz w:val="22"/>
          <w:szCs w:val="22"/>
        </w:rPr>
        <w:lastRenderedPageBreak/>
        <w:t>（二）</w:t>
      </w:r>
      <w:r>
        <w:rPr>
          <w:rFonts w:asciiTheme="minorEastAsia" w:hAnsiTheme="minorEastAsia"/>
          <w:sz w:val="22"/>
          <w:szCs w:val="22"/>
        </w:rPr>
        <w:t> </w:t>
      </w:r>
      <w:r>
        <w:rPr>
          <w:rFonts w:asciiTheme="minorEastAsia" w:hAnsiTheme="minorEastAsia" w:hint="eastAsia"/>
          <w:sz w:val="22"/>
          <w:szCs w:val="22"/>
        </w:rPr>
        <w:t>健康与安全：维护劳工与工作场所的健康与安全</w:t>
      </w:r>
    </w:p>
    <w:p w14:paraId="0D79D3BB" w14:textId="77777777" w:rsidR="007E5CA6" w:rsidRDefault="00B75A11">
      <w:pPr>
        <w:spacing w:line="400" w:lineRule="exact"/>
        <w:ind w:firstLineChars="200" w:firstLine="440"/>
        <w:rPr>
          <w:rFonts w:asciiTheme="minorEastAsia" w:eastAsiaTheme="minorEastAsia" w:hAnsiTheme="minorEastAsia"/>
          <w:sz w:val="22"/>
          <w:szCs w:val="22"/>
        </w:rPr>
      </w:pPr>
      <w:r>
        <w:rPr>
          <w:rFonts w:asciiTheme="minorEastAsia" w:hAnsiTheme="minorEastAsia" w:hint="eastAsia"/>
          <w:sz w:val="22"/>
          <w:szCs w:val="22"/>
        </w:rPr>
        <w:t>（三）</w:t>
      </w:r>
      <w:r>
        <w:rPr>
          <w:rFonts w:asciiTheme="minorEastAsia" w:hAnsiTheme="minorEastAsia"/>
          <w:sz w:val="22"/>
          <w:szCs w:val="22"/>
        </w:rPr>
        <w:t> </w:t>
      </w:r>
      <w:r>
        <w:rPr>
          <w:rFonts w:asciiTheme="minorEastAsia" w:hAnsiTheme="minorEastAsia" w:hint="eastAsia"/>
          <w:sz w:val="22"/>
          <w:szCs w:val="22"/>
        </w:rPr>
        <w:t>环境：减少对环境与自然资源的不当伤害</w:t>
      </w:r>
    </w:p>
    <w:p w14:paraId="2089750E" w14:textId="77777777" w:rsidR="007E5CA6" w:rsidRDefault="00B75A11">
      <w:pPr>
        <w:spacing w:line="400" w:lineRule="exact"/>
        <w:ind w:firstLineChars="200" w:firstLine="440"/>
        <w:rPr>
          <w:rFonts w:asciiTheme="minorEastAsia" w:eastAsiaTheme="minorEastAsia" w:hAnsiTheme="minorEastAsia"/>
          <w:sz w:val="22"/>
          <w:szCs w:val="22"/>
        </w:rPr>
      </w:pPr>
      <w:r>
        <w:rPr>
          <w:rFonts w:asciiTheme="minorEastAsia" w:hAnsiTheme="minorEastAsia" w:hint="eastAsia"/>
          <w:sz w:val="22"/>
          <w:szCs w:val="22"/>
        </w:rPr>
        <w:t>（四）</w:t>
      </w:r>
      <w:r>
        <w:rPr>
          <w:rFonts w:asciiTheme="minorEastAsia" w:hAnsiTheme="minorEastAsia"/>
          <w:sz w:val="22"/>
          <w:szCs w:val="22"/>
        </w:rPr>
        <w:t> </w:t>
      </w:r>
      <w:r>
        <w:rPr>
          <w:rFonts w:asciiTheme="minorEastAsia" w:hAnsiTheme="minorEastAsia" w:hint="eastAsia"/>
          <w:sz w:val="22"/>
          <w:szCs w:val="22"/>
        </w:rPr>
        <w:t>道德：企业与经营者须遵守最高标准之道德要求</w:t>
      </w:r>
    </w:p>
    <w:p w14:paraId="501757F6" w14:textId="77777777" w:rsidR="007E5CA6" w:rsidRDefault="00B75A11">
      <w:pPr>
        <w:spacing w:line="400" w:lineRule="exact"/>
        <w:ind w:firstLineChars="200" w:firstLine="440"/>
        <w:rPr>
          <w:rFonts w:asciiTheme="minorEastAsia" w:eastAsiaTheme="minorEastAsia" w:hAnsiTheme="minorEastAsia"/>
          <w:sz w:val="22"/>
          <w:szCs w:val="22"/>
        </w:rPr>
      </w:pPr>
      <w:r>
        <w:rPr>
          <w:rFonts w:asciiTheme="minorEastAsia" w:hAnsiTheme="minorEastAsia" w:hint="eastAsia"/>
          <w:sz w:val="22"/>
          <w:szCs w:val="22"/>
        </w:rPr>
        <w:t>（五）</w:t>
      </w:r>
      <w:r>
        <w:rPr>
          <w:rFonts w:asciiTheme="minorEastAsia" w:hAnsiTheme="minorEastAsia"/>
          <w:sz w:val="22"/>
          <w:szCs w:val="22"/>
        </w:rPr>
        <w:t> </w:t>
      </w:r>
      <w:r>
        <w:rPr>
          <w:rFonts w:asciiTheme="minorEastAsia" w:hAnsiTheme="minorEastAsia" w:hint="eastAsia"/>
          <w:sz w:val="22"/>
          <w:szCs w:val="22"/>
        </w:rPr>
        <w:t>管理体系：有效性且持续推动的管理活动</w:t>
      </w:r>
    </w:p>
    <w:p w14:paraId="5E1F05F7" w14:textId="77777777" w:rsidR="007E5CA6" w:rsidRDefault="00B75A11">
      <w:pPr>
        <w:spacing w:line="400" w:lineRule="exact"/>
        <w:ind w:leftChars="209" w:left="439"/>
        <w:rPr>
          <w:rFonts w:asciiTheme="minorEastAsia" w:hAnsiTheme="minorEastAsia"/>
          <w:sz w:val="22"/>
          <w:szCs w:val="22"/>
        </w:rPr>
      </w:pPr>
      <w:r>
        <w:rPr>
          <w:rFonts w:asciiTheme="minorEastAsia" w:hAnsiTheme="minorEastAsia" w:hint="eastAsia"/>
          <w:sz w:val="22"/>
          <w:szCs w:val="22"/>
        </w:rPr>
        <w:t>乙方同意达到以上行为准则的要求，惟甲方之最终客户若对社会及环境责任有特别要求者，乙方同意以最终客户之文件或要求为准。</w:t>
      </w:r>
    </w:p>
    <w:p w14:paraId="7EACFA68" w14:textId="77777777" w:rsidR="007E5CA6" w:rsidRDefault="00B75A11">
      <w:pPr>
        <w:pStyle w:val="a8"/>
        <w:numPr>
          <w:ilvl w:val="0"/>
          <w:numId w:val="1"/>
        </w:numPr>
        <w:tabs>
          <w:tab w:val="left" w:pos="360"/>
        </w:tabs>
        <w:spacing w:beforeLines="50" w:before="156" w:afterLines="50" w:after="156"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期限</w:t>
      </w:r>
    </w:p>
    <w:p w14:paraId="792A35B0" w14:textId="77777777" w:rsidR="007E5CA6" w:rsidRDefault="00B75A11">
      <w:pPr>
        <w:spacing w:line="400" w:lineRule="exact"/>
        <w:ind w:leftChars="202" w:left="424"/>
        <w:rPr>
          <w:rFonts w:ascii="SimSun" w:hAnsi="SimSun"/>
          <w:color w:val="000000" w:themeColor="text1"/>
          <w:sz w:val="22"/>
          <w:szCs w:val="22"/>
        </w:rPr>
      </w:pPr>
      <w:r>
        <w:rPr>
          <w:rFonts w:ascii="SimSun" w:hAnsi="SimSun" w:hint="eastAsia"/>
          <w:color w:val="000000" w:themeColor="text1"/>
          <w:sz w:val="22"/>
          <w:szCs w:val="22"/>
        </w:rPr>
        <w:t>本合同有效期从</w:t>
      </w:r>
      <w:r>
        <w:rPr>
          <w:rFonts w:ascii="SimSun" w:hAnsi="SimSun"/>
          <w:color w:val="000000" w:themeColor="text1"/>
          <w:sz w:val="22"/>
          <w:szCs w:val="22"/>
          <w:u w:val="single"/>
        </w:rPr>
        <w:t xml:space="preserve">  </w:t>
      </w:r>
      <w:r>
        <w:rPr>
          <w:rFonts w:ascii="SimSun" w:hAnsi="SimSun" w:hint="eastAsia"/>
          <w:color w:val="000000" w:themeColor="text1"/>
          <w:sz w:val="22"/>
          <w:szCs w:val="22"/>
        </w:rPr>
        <w:t>年</w:t>
      </w:r>
      <w:r>
        <w:rPr>
          <w:rFonts w:ascii="SimSun" w:hAnsi="SimSun"/>
          <w:color w:val="000000" w:themeColor="text1"/>
          <w:sz w:val="22"/>
          <w:szCs w:val="22"/>
          <w:u w:val="single"/>
        </w:rPr>
        <w:t xml:space="preserve"> </w:t>
      </w:r>
      <w:r>
        <w:rPr>
          <w:rFonts w:ascii="SimSun" w:hAnsi="SimSun" w:hint="eastAsia"/>
          <w:color w:val="000000" w:themeColor="text1"/>
          <w:sz w:val="22"/>
          <w:szCs w:val="22"/>
          <w:u w:val="single"/>
        </w:rPr>
        <w:t xml:space="preserve"> </w:t>
      </w:r>
      <w:r>
        <w:rPr>
          <w:rFonts w:ascii="SimSun" w:hAnsi="SimSun" w:hint="eastAsia"/>
          <w:color w:val="000000" w:themeColor="text1"/>
          <w:sz w:val="22"/>
          <w:szCs w:val="22"/>
        </w:rPr>
        <w:t>月</w:t>
      </w:r>
      <w:r>
        <w:rPr>
          <w:rFonts w:ascii="SimSun" w:hAnsi="SimSun" w:hint="eastAsia"/>
          <w:color w:val="000000" w:themeColor="text1"/>
          <w:sz w:val="22"/>
          <w:szCs w:val="22"/>
          <w:u w:val="single"/>
        </w:rPr>
        <w:t xml:space="preserve">  </w:t>
      </w:r>
      <w:r>
        <w:rPr>
          <w:rFonts w:ascii="SimSun" w:hAnsi="SimSun" w:hint="eastAsia"/>
          <w:color w:val="000000" w:themeColor="text1"/>
          <w:sz w:val="22"/>
          <w:szCs w:val="22"/>
        </w:rPr>
        <w:t>日起至</w:t>
      </w:r>
      <w:r>
        <w:rPr>
          <w:rFonts w:ascii="SimSun" w:hAnsi="SimSun"/>
          <w:color w:val="000000" w:themeColor="text1"/>
          <w:sz w:val="22"/>
          <w:szCs w:val="22"/>
          <w:u w:val="single"/>
        </w:rPr>
        <w:t xml:space="preserve"> </w:t>
      </w:r>
      <w:r>
        <w:rPr>
          <w:rFonts w:ascii="SimSun" w:hAnsi="SimSun" w:hint="eastAsia"/>
          <w:color w:val="000000" w:themeColor="text1"/>
          <w:sz w:val="22"/>
          <w:szCs w:val="22"/>
          <w:u w:val="single"/>
        </w:rPr>
        <w:t xml:space="preserve"> </w:t>
      </w:r>
      <w:r>
        <w:rPr>
          <w:rFonts w:ascii="SimSun" w:hAnsi="SimSun" w:hint="eastAsia"/>
          <w:color w:val="000000" w:themeColor="text1"/>
          <w:sz w:val="22"/>
          <w:szCs w:val="22"/>
        </w:rPr>
        <w:t>年</w:t>
      </w:r>
      <w:r>
        <w:rPr>
          <w:rFonts w:ascii="SimSun" w:hAnsi="SimSun"/>
          <w:color w:val="000000" w:themeColor="text1"/>
          <w:sz w:val="22"/>
          <w:szCs w:val="22"/>
          <w:u w:val="single"/>
        </w:rPr>
        <w:t xml:space="preserve"> </w:t>
      </w:r>
      <w:r>
        <w:rPr>
          <w:rFonts w:ascii="SimSun" w:hAnsi="SimSun" w:hint="eastAsia"/>
          <w:color w:val="000000" w:themeColor="text1"/>
          <w:sz w:val="22"/>
          <w:szCs w:val="22"/>
          <w:u w:val="single"/>
        </w:rPr>
        <w:t xml:space="preserve"> </w:t>
      </w:r>
      <w:r>
        <w:rPr>
          <w:rFonts w:ascii="SimSun" w:hAnsi="SimSun" w:hint="eastAsia"/>
          <w:color w:val="000000" w:themeColor="text1"/>
          <w:sz w:val="22"/>
          <w:szCs w:val="22"/>
        </w:rPr>
        <w:t>月</w:t>
      </w:r>
      <w:r>
        <w:rPr>
          <w:rFonts w:ascii="SimSun" w:hAnsi="SimSun" w:hint="eastAsia"/>
          <w:color w:val="000000" w:themeColor="text1"/>
          <w:sz w:val="22"/>
          <w:szCs w:val="22"/>
          <w:u w:val="single"/>
        </w:rPr>
        <w:t xml:space="preserve">  </w:t>
      </w:r>
      <w:r>
        <w:rPr>
          <w:rFonts w:ascii="SimSun" w:hAnsi="SimSun" w:hint="eastAsia"/>
          <w:color w:val="000000" w:themeColor="text1"/>
          <w:sz w:val="22"/>
          <w:szCs w:val="22"/>
        </w:rPr>
        <w:t>日止。</w:t>
      </w:r>
    </w:p>
    <w:p w14:paraId="11E6FCCC" w14:textId="77777777" w:rsidR="007E5CA6" w:rsidRDefault="00B75A11">
      <w:pPr>
        <w:pStyle w:val="a8"/>
        <w:numPr>
          <w:ilvl w:val="0"/>
          <w:numId w:val="1"/>
        </w:numPr>
        <w:tabs>
          <w:tab w:val="left" w:pos="360"/>
        </w:tabs>
        <w:spacing w:beforeLines="50" w:before="156" w:afterLines="50" w:after="156"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不可抗力</w:t>
      </w:r>
    </w:p>
    <w:p w14:paraId="7DD76351" w14:textId="77777777" w:rsidR="007E5CA6" w:rsidRDefault="00B75A11">
      <w:pPr>
        <w:spacing w:line="400" w:lineRule="exact"/>
        <w:ind w:left="426" w:hanging="2"/>
        <w:rPr>
          <w:rFonts w:asciiTheme="minorEastAsia" w:eastAsiaTheme="minorEastAsia" w:hAnsiTheme="minorEastAsia"/>
          <w:sz w:val="22"/>
          <w:szCs w:val="22"/>
        </w:rPr>
      </w:pPr>
      <w:r>
        <w:rPr>
          <w:rFonts w:asciiTheme="minorEastAsia" w:hAnsiTheme="minorEastAsia" w:hint="eastAsia"/>
          <w:sz w:val="22"/>
          <w:szCs w:val="22"/>
        </w:rPr>
        <w:t>在合同存续期间内任何一方因不可抗力的原因，不能履行本合同时，应在不可抗力的事件发生之后三日内向对方通知不能履行或者需要延期履行、部分履行的理由。在取得相关证明之后，本合同可以不履行或者需要延期履行、部分履行，并免予承担违约责任。</w:t>
      </w:r>
    </w:p>
    <w:p w14:paraId="0584B27B" w14:textId="77777777" w:rsidR="007E5CA6" w:rsidRDefault="00B75A11">
      <w:pPr>
        <w:pStyle w:val="a8"/>
        <w:numPr>
          <w:ilvl w:val="0"/>
          <w:numId w:val="1"/>
        </w:numPr>
        <w:tabs>
          <w:tab w:val="left" w:pos="360"/>
        </w:tabs>
        <w:spacing w:beforeLines="50" w:before="156" w:afterLines="50" w:after="156" w:line="400" w:lineRule="exact"/>
        <w:ind w:leftChars="0"/>
        <w:rPr>
          <w:rFonts w:asciiTheme="minorEastAsia" w:eastAsiaTheme="minorEastAsia" w:hAnsiTheme="minorEastAsia"/>
          <w:b/>
          <w:sz w:val="22"/>
          <w:szCs w:val="22"/>
          <w:lang w:eastAsia="zh-TW"/>
        </w:rPr>
      </w:pPr>
      <w:r>
        <w:rPr>
          <w:rFonts w:asciiTheme="minorEastAsia" w:hAnsiTheme="minorEastAsia" w:hint="eastAsia"/>
          <w:b/>
          <w:sz w:val="22"/>
          <w:szCs w:val="22"/>
        </w:rPr>
        <w:t>准据法和争议解决：</w:t>
      </w:r>
    </w:p>
    <w:p w14:paraId="4AEF582D" w14:textId="77777777" w:rsidR="007E5CA6" w:rsidRDefault="00B75A11">
      <w:pPr>
        <w:spacing w:line="400" w:lineRule="exact"/>
        <w:ind w:left="426" w:hanging="2"/>
        <w:rPr>
          <w:rFonts w:asciiTheme="minorEastAsia" w:eastAsiaTheme="minorEastAsia" w:hAnsiTheme="minorEastAsia"/>
          <w:sz w:val="22"/>
          <w:szCs w:val="22"/>
        </w:rPr>
      </w:pPr>
      <w:r>
        <w:rPr>
          <w:rFonts w:asciiTheme="minorEastAsia" w:hAnsiTheme="minorEastAsia" w:hint="eastAsia"/>
          <w:sz w:val="22"/>
          <w:szCs w:val="22"/>
        </w:rPr>
        <w:t>本协议如有未尽事宜，双方应依诚信原则及中华人民共和国法令解释办理之。因本协议引起的或与本协议有关的任何争议，将通过谈判友好解决，如不能达成协议，双方同意提交马鞍山市雨山区人民法院作为一审管辖法院，因诉讼所生之一切费用</w:t>
      </w:r>
      <w:r>
        <w:rPr>
          <w:rFonts w:asciiTheme="minorEastAsia" w:hAnsiTheme="minorEastAsia"/>
          <w:sz w:val="22"/>
          <w:szCs w:val="22"/>
        </w:rPr>
        <w:t>(</w:t>
      </w:r>
      <w:r>
        <w:rPr>
          <w:rFonts w:asciiTheme="minorEastAsia" w:hAnsiTheme="minorEastAsia" w:hint="eastAsia"/>
          <w:sz w:val="22"/>
          <w:szCs w:val="22"/>
        </w:rPr>
        <w:t>包含但不限于诉讼费、搜证费、公证费、律师费、执行费及差旅费等</w:t>
      </w:r>
      <w:r>
        <w:rPr>
          <w:rFonts w:asciiTheme="minorEastAsia" w:hAnsiTheme="minorEastAsia"/>
          <w:sz w:val="22"/>
          <w:szCs w:val="22"/>
        </w:rPr>
        <w:t>)</w:t>
      </w:r>
      <w:r>
        <w:rPr>
          <w:rFonts w:asciiTheme="minorEastAsia" w:hAnsiTheme="minorEastAsia" w:hint="eastAsia"/>
          <w:sz w:val="22"/>
          <w:szCs w:val="22"/>
        </w:rPr>
        <w:t>概由败诉之一方承担。</w:t>
      </w:r>
    </w:p>
    <w:p w14:paraId="46793BCF" w14:textId="77777777" w:rsidR="007E5CA6" w:rsidRDefault="00B75A11">
      <w:pPr>
        <w:spacing w:line="400" w:lineRule="exact"/>
        <w:rPr>
          <w:rFonts w:asciiTheme="minorEastAsia" w:eastAsiaTheme="minorEastAsia" w:hAnsiTheme="minorEastAsia"/>
          <w:b/>
          <w:sz w:val="22"/>
          <w:szCs w:val="22"/>
          <w:lang w:eastAsia="zh-TW"/>
        </w:rPr>
      </w:pPr>
      <w:r>
        <w:rPr>
          <w:rFonts w:asciiTheme="minorEastAsia" w:hAnsiTheme="minorEastAsia" w:hint="eastAsia"/>
          <w:b/>
          <w:sz w:val="22"/>
          <w:szCs w:val="22"/>
        </w:rPr>
        <w:t>第十一条</w:t>
      </w:r>
      <w:r>
        <w:rPr>
          <w:rFonts w:asciiTheme="minorEastAsia" w:hAnsiTheme="minorEastAsia"/>
          <w:b/>
          <w:sz w:val="22"/>
          <w:szCs w:val="22"/>
        </w:rPr>
        <w:t xml:space="preserve"> </w:t>
      </w:r>
      <w:r>
        <w:rPr>
          <w:rFonts w:asciiTheme="minorEastAsia" w:hAnsiTheme="minorEastAsia" w:hint="eastAsia"/>
          <w:b/>
          <w:sz w:val="22"/>
          <w:szCs w:val="22"/>
        </w:rPr>
        <w:t>合同其他事宜</w:t>
      </w:r>
    </w:p>
    <w:p w14:paraId="0580F6D4" w14:textId="77777777" w:rsidR="007E5CA6" w:rsidRDefault="00B75A11">
      <w:pPr>
        <w:pStyle w:val="a8"/>
        <w:numPr>
          <w:ilvl w:val="0"/>
          <w:numId w:val="3"/>
        </w:numPr>
        <w:spacing w:line="400" w:lineRule="exact"/>
        <w:ind w:leftChars="0"/>
        <w:rPr>
          <w:rFonts w:asciiTheme="minorEastAsia" w:eastAsiaTheme="minorEastAsia" w:hAnsiTheme="minorEastAsia"/>
          <w:sz w:val="22"/>
          <w:szCs w:val="22"/>
        </w:rPr>
      </w:pPr>
      <w:r>
        <w:rPr>
          <w:rFonts w:asciiTheme="minorEastAsia" w:hAnsiTheme="minorEastAsia" w:hint="eastAsia"/>
          <w:sz w:val="22"/>
          <w:szCs w:val="22"/>
        </w:rPr>
        <w:t>未尽事宜和修正事项，可经双方协商解决或另行签约，本合同与补充协议均具有同等法律效力。双方之间关于再生资源处理的事宜仅适用本合同与补充协议，并排除其他所有效力及于甲乙双方的口头或书面之协议的适用。</w:t>
      </w:r>
    </w:p>
    <w:p w14:paraId="1EDB3845" w14:textId="77777777" w:rsidR="007E5CA6" w:rsidRDefault="00B75A11">
      <w:pPr>
        <w:pStyle w:val="a8"/>
        <w:numPr>
          <w:ilvl w:val="0"/>
          <w:numId w:val="3"/>
        </w:numPr>
        <w:spacing w:line="400" w:lineRule="exact"/>
        <w:ind w:leftChars="0"/>
        <w:rPr>
          <w:rFonts w:asciiTheme="minorEastAsia" w:eastAsiaTheme="minorEastAsia" w:hAnsiTheme="minorEastAsia"/>
          <w:sz w:val="22"/>
          <w:szCs w:val="22"/>
        </w:rPr>
      </w:pPr>
      <w:r>
        <w:rPr>
          <w:rFonts w:asciiTheme="minorEastAsia" w:hAnsiTheme="minorEastAsia" w:hint="eastAsia"/>
          <w:sz w:val="22"/>
          <w:szCs w:val="22"/>
        </w:rPr>
        <w:t>合同的附件为本合同的有效组成部分之一，与本合同具有同等法律效力。</w:t>
      </w:r>
    </w:p>
    <w:p w14:paraId="16621D24" w14:textId="77777777" w:rsidR="007E5CA6" w:rsidRDefault="00B75A11">
      <w:pPr>
        <w:pStyle w:val="a8"/>
        <w:numPr>
          <w:ilvl w:val="0"/>
          <w:numId w:val="3"/>
        </w:numPr>
        <w:spacing w:line="400" w:lineRule="exact"/>
        <w:ind w:leftChars="0"/>
        <w:rPr>
          <w:rFonts w:asciiTheme="minorEastAsia" w:eastAsiaTheme="minorEastAsia" w:hAnsiTheme="minorEastAsia"/>
          <w:sz w:val="22"/>
          <w:szCs w:val="22"/>
        </w:rPr>
      </w:pPr>
      <w:r>
        <w:rPr>
          <w:rFonts w:asciiTheme="minorEastAsia" w:hAnsiTheme="minorEastAsia" w:hint="eastAsia"/>
          <w:sz w:val="22"/>
          <w:szCs w:val="22"/>
        </w:rPr>
        <w:t>本协议一式二份，双方各持一份，自双方签章后生效。</w:t>
      </w:r>
    </w:p>
    <w:p w14:paraId="7995A74F" w14:textId="77777777" w:rsidR="007E5CA6" w:rsidRDefault="007E5CA6">
      <w:pPr>
        <w:spacing w:line="400" w:lineRule="exact"/>
        <w:rPr>
          <w:rFonts w:asciiTheme="minorEastAsia" w:eastAsiaTheme="minorEastAsia" w:hAnsiTheme="minorEastAsia"/>
          <w:sz w:val="22"/>
          <w:szCs w:val="22"/>
        </w:rPr>
      </w:pPr>
    </w:p>
    <w:p w14:paraId="465F4DE1" w14:textId="77777777" w:rsidR="007E5CA6" w:rsidRDefault="00B75A11">
      <w:pPr>
        <w:spacing w:line="400" w:lineRule="exact"/>
        <w:ind w:leftChars="1" w:left="2" w:firstLineChars="200" w:firstLine="440"/>
        <w:rPr>
          <w:rFonts w:asciiTheme="minorEastAsia" w:eastAsiaTheme="minorEastAsia" w:hAnsiTheme="minorEastAsia"/>
          <w:sz w:val="22"/>
          <w:szCs w:val="22"/>
        </w:rPr>
      </w:pPr>
      <w:r>
        <w:rPr>
          <w:rFonts w:asciiTheme="minorEastAsia" w:hAnsiTheme="minorEastAsia" w:hint="eastAsia"/>
          <w:sz w:val="22"/>
          <w:szCs w:val="22"/>
        </w:rPr>
        <w:t>附件：《再生资源列表、处理价格》</w:t>
      </w:r>
    </w:p>
    <w:p w14:paraId="1E9A508E" w14:textId="77777777" w:rsidR="007E5CA6" w:rsidRDefault="007E5CA6">
      <w:pPr>
        <w:spacing w:line="400" w:lineRule="exact"/>
        <w:ind w:left="4708" w:hangingChars="2140" w:hanging="4708"/>
        <w:rPr>
          <w:rFonts w:asciiTheme="minorEastAsia" w:eastAsiaTheme="minorEastAsia" w:hAnsiTheme="minorEastAsia"/>
          <w:sz w:val="22"/>
          <w:szCs w:val="22"/>
        </w:rPr>
      </w:pPr>
    </w:p>
    <w:p w14:paraId="1ABC6727" w14:textId="77777777" w:rsidR="007E5CA6" w:rsidRDefault="00B75A11">
      <w:pPr>
        <w:spacing w:line="400" w:lineRule="exact"/>
        <w:ind w:left="4708" w:hangingChars="2140" w:hanging="4708"/>
        <w:rPr>
          <w:rFonts w:asciiTheme="minorEastAsia" w:eastAsiaTheme="minorEastAsia" w:hAnsiTheme="minorEastAsia"/>
          <w:sz w:val="22"/>
          <w:szCs w:val="22"/>
        </w:rPr>
      </w:pPr>
      <w:r>
        <w:rPr>
          <w:rFonts w:asciiTheme="minorEastAsia" w:hAnsiTheme="minorEastAsia" w:hint="eastAsia"/>
          <w:sz w:val="22"/>
          <w:szCs w:val="22"/>
        </w:rPr>
        <w:t>立合约人</w:t>
      </w:r>
    </w:p>
    <w:p w14:paraId="16F9AD10" w14:textId="77777777" w:rsidR="007E5CA6" w:rsidRDefault="007E5CA6">
      <w:pPr>
        <w:spacing w:line="400" w:lineRule="exact"/>
        <w:ind w:left="4708" w:hangingChars="2140" w:hanging="4708"/>
        <w:rPr>
          <w:rFonts w:asciiTheme="minorEastAsia" w:eastAsiaTheme="minorEastAsia" w:hAnsiTheme="minorEastAsia"/>
          <w:sz w:val="22"/>
          <w:szCs w:val="22"/>
        </w:rPr>
      </w:pPr>
    </w:p>
    <w:p w14:paraId="0E27BBFE" w14:textId="77777777" w:rsidR="007E5CA6" w:rsidRDefault="00B75A11">
      <w:pPr>
        <w:spacing w:line="400" w:lineRule="exact"/>
        <w:rPr>
          <w:rFonts w:asciiTheme="minorEastAsia" w:hAnsiTheme="minorEastAsia"/>
          <w:sz w:val="22"/>
          <w:szCs w:val="22"/>
        </w:rPr>
      </w:pPr>
      <w:r>
        <w:rPr>
          <w:rFonts w:asciiTheme="minorEastAsia" w:hAnsiTheme="minorEastAsia" w:hint="eastAsia"/>
          <w:sz w:val="22"/>
          <w:szCs w:val="22"/>
        </w:rPr>
        <w:t>甲方：</w:t>
      </w:r>
      <w:r>
        <w:rPr>
          <w:rFonts w:asciiTheme="minorEastAsia" w:hAnsiTheme="minorEastAsia"/>
          <w:sz w:val="22"/>
          <w:szCs w:val="22"/>
        </w:rPr>
        <w:t>华孚精密科技（马鞍山）有限公司</w:t>
      </w:r>
      <w:r>
        <w:rPr>
          <w:rFonts w:asciiTheme="minorEastAsia" w:hAnsiTheme="minorEastAsia"/>
          <w:sz w:val="22"/>
          <w:szCs w:val="22"/>
        </w:rPr>
        <w:t xml:space="preserve">   </w:t>
      </w:r>
      <w:r>
        <w:rPr>
          <w:rFonts w:asciiTheme="minorEastAsia" w:hAnsiTheme="minorEastAsia"/>
          <w:sz w:val="22"/>
          <w:szCs w:val="22"/>
        </w:rPr>
        <w:t xml:space="preserve">     </w:t>
      </w:r>
      <w:r>
        <w:rPr>
          <w:rFonts w:asciiTheme="minorEastAsia" w:hAnsiTheme="minorEastAsia" w:hint="eastAsia"/>
          <w:sz w:val="22"/>
          <w:szCs w:val="22"/>
        </w:rPr>
        <w:t>乙方：</w:t>
      </w:r>
    </w:p>
    <w:p w14:paraId="749F2A13" w14:textId="77777777" w:rsidR="007E5CA6" w:rsidRDefault="00B75A11">
      <w:pPr>
        <w:spacing w:line="400" w:lineRule="exact"/>
        <w:rPr>
          <w:rFonts w:asciiTheme="minorEastAsia" w:hAnsiTheme="minorEastAsia"/>
          <w:sz w:val="22"/>
          <w:szCs w:val="22"/>
        </w:rPr>
      </w:pPr>
      <w:r>
        <w:rPr>
          <w:rFonts w:asciiTheme="minorEastAsia" w:hAnsiTheme="minorEastAsia" w:hint="eastAsia"/>
          <w:sz w:val="22"/>
          <w:szCs w:val="22"/>
        </w:rPr>
        <w:t>法定代表人：</w:t>
      </w:r>
      <w:r>
        <w:rPr>
          <w:rFonts w:asciiTheme="minorEastAsia" w:hAnsiTheme="minorEastAsia"/>
          <w:sz w:val="22"/>
          <w:szCs w:val="22"/>
        </w:rPr>
        <w:t>蔡丰赐</w:t>
      </w:r>
      <w:r>
        <w:rPr>
          <w:rFonts w:asciiTheme="minorEastAsia" w:hAnsiTheme="minorEastAsia"/>
          <w:sz w:val="22"/>
          <w:szCs w:val="22"/>
        </w:rPr>
        <w:t xml:space="preserve">                          </w:t>
      </w:r>
      <w:r>
        <w:rPr>
          <w:rFonts w:asciiTheme="minorEastAsia" w:hAnsiTheme="minorEastAsia" w:hint="eastAsia"/>
          <w:sz w:val="22"/>
          <w:szCs w:val="22"/>
        </w:rPr>
        <w:t>法定代表人：</w:t>
      </w:r>
    </w:p>
    <w:p w14:paraId="5C85EB6D" w14:textId="77777777" w:rsidR="007E5CA6" w:rsidRDefault="00B75A11">
      <w:pPr>
        <w:spacing w:line="400" w:lineRule="exact"/>
        <w:ind w:left="5500" w:hangingChars="2500" w:hanging="5500"/>
        <w:rPr>
          <w:rFonts w:asciiTheme="minorEastAsia" w:hAnsiTheme="minorEastAsia"/>
          <w:sz w:val="22"/>
          <w:szCs w:val="22"/>
        </w:rPr>
      </w:pPr>
      <w:r>
        <w:rPr>
          <w:rFonts w:asciiTheme="minorEastAsia" w:hAnsiTheme="minorEastAsia" w:hint="eastAsia"/>
          <w:sz w:val="22"/>
          <w:szCs w:val="22"/>
        </w:rPr>
        <w:t>地</w:t>
      </w:r>
      <w:r>
        <w:rPr>
          <w:rFonts w:asciiTheme="minorEastAsia" w:hAnsiTheme="minorEastAsia"/>
          <w:sz w:val="22"/>
          <w:szCs w:val="22"/>
        </w:rPr>
        <w:t xml:space="preserve">  </w:t>
      </w:r>
      <w:r>
        <w:rPr>
          <w:rFonts w:asciiTheme="minorEastAsia" w:hAnsiTheme="minorEastAsia" w:hint="eastAsia"/>
          <w:sz w:val="22"/>
          <w:szCs w:val="22"/>
        </w:rPr>
        <w:t>址：</w:t>
      </w:r>
      <w:r>
        <w:rPr>
          <w:rFonts w:asciiTheme="minorEastAsia" w:hAnsiTheme="minorEastAsia"/>
          <w:sz w:val="22"/>
          <w:szCs w:val="22"/>
        </w:rPr>
        <w:t>马鞍山经济技术开发区湖西南路</w:t>
      </w:r>
      <w:r>
        <w:rPr>
          <w:rFonts w:asciiTheme="minorEastAsia" w:hAnsiTheme="minorEastAsia"/>
          <w:sz w:val="22"/>
          <w:szCs w:val="22"/>
        </w:rPr>
        <w:t>1430</w:t>
      </w:r>
      <w:r>
        <w:rPr>
          <w:rFonts w:asciiTheme="minorEastAsia" w:hAnsiTheme="minorEastAsia"/>
          <w:sz w:val="22"/>
          <w:szCs w:val="22"/>
        </w:rPr>
        <w:t>号</w:t>
      </w:r>
      <w:r>
        <w:rPr>
          <w:rFonts w:asciiTheme="minorEastAsia" w:hAnsiTheme="minorEastAsia"/>
          <w:sz w:val="22"/>
          <w:szCs w:val="22"/>
        </w:rPr>
        <w:t xml:space="preserve"> </w:t>
      </w:r>
      <w:r>
        <w:rPr>
          <w:rFonts w:asciiTheme="minorEastAsia" w:hAnsiTheme="minorEastAsia" w:hint="eastAsia"/>
          <w:sz w:val="22"/>
          <w:szCs w:val="22"/>
        </w:rPr>
        <w:t>地址：</w:t>
      </w:r>
    </w:p>
    <w:p w14:paraId="13D81A2B" w14:textId="77777777" w:rsidR="007E5CA6" w:rsidRDefault="007E5CA6">
      <w:pPr>
        <w:spacing w:line="400" w:lineRule="exact"/>
        <w:rPr>
          <w:rFonts w:asciiTheme="minorEastAsia" w:eastAsiaTheme="minorEastAsia" w:hAnsiTheme="minorEastAsia"/>
          <w:sz w:val="22"/>
          <w:szCs w:val="22"/>
        </w:rPr>
      </w:pPr>
    </w:p>
    <w:p w14:paraId="4DBEBAB2" w14:textId="77777777" w:rsidR="007E5CA6" w:rsidRDefault="00B75A11">
      <w:pPr>
        <w:spacing w:line="400" w:lineRule="exact"/>
        <w:jc w:val="center"/>
        <w:rPr>
          <w:rFonts w:asciiTheme="minorEastAsia" w:hAnsiTheme="minorEastAsia"/>
          <w:sz w:val="22"/>
          <w:szCs w:val="22"/>
        </w:rPr>
        <w:sectPr w:rsidR="007E5CA6">
          <w:footerReference w:type="even" r:id="rId10"/>
          <w:footerReference w:type="default" r:id="rId11"/>
          <w:pgSz w:w="11906" w:h="16838"/>
          <w:pgMar w:top="851" w:right="991" w:bottom="426" w:left="1134" w:header="851" w:footer="431" w:gutter="0"/>
          <w:cols w:space="425"/>
          <w:docGrid w:type="lines" w:linePitch="312"/>
        </w:sectPr>
      </w:pPr>
      <w:r>
        <w:rPr>
          <w:rFonts w:asciiTheme="minorEastAsia" w:hAnsiTheme="minorEastAsia" w:hint="eastAsia"/>
          <w:sz w:val="22"/>
          <w:szCs w:val="22"/>
        </w:rPr>
        <w:t>签订日期：</w:t>
      </w:r>
      <w:r>
        <w:rPr>
          <w:rFonts w:asciiTheme="minorEastAsia" w:hAnsiTheme="minorEastAsia" w:hint="eastAsia"/>
          <w:sz w:val="22"/>
          <w:szCs w:val="22"/>
        </w:rPr>
        <w:t xml:space="preserve">      </w:t>
      </w:r>
      <w:r>
        <w:rPr>
          <w:rFonts w:asciiTheme="minorEastAsia" w:hAnsiTheme="minorEastAsia" w:hint="eastAsia"/>
          <w:sz w:val="22"/>
          <w:szCs w:val="22"/>
        </w:rPr>
        <w:t>年</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 xml:space="preserve"> </w:t>
      </w:r>
      <w:r>
        <w:rPr>
          <w:rFonts w:asciiTheme="minorEastAsia" w:hAnsiTheme="minorEastAsia" w:hint="eastAsia"/>
          <w:sz w:val="22"/>
          <w:szCs w:val="22"/>
        </w:rPr>
        <w:t>月</w:t>
      </w:r>
      <w:r>
        <w:rPr>
          <w:rFonts w:asciiTheme="minorEastAsia" w:hAnsiTheme="minorEastAsia"/>
          <w:sz w:val="22"/>
          <w:szCs w:val="22"/>
        </w:rPr>
        <w:t xml:space="preserve">  </w:t>
      </w:r>
      <w:r>
        <w:rPr>
          <w:rFonts w:asciiTheme="minorEastAsia" w:hAnsiTheme="minorEastAsia" w:hint="eastAsia"/>
          <w:sz w:val="22"/>
          <w:szCs w:val="22"/>
        </w:rPr>
        <w:t xml:space="preserve">  </w:t>
      </w:r>
      <w:r>
        <w:rPr>
          <w:rFonts w:asciiTheme="minorEastAsia" w:hAnsiTheme="minorEastAsia"/>
          <w:sz w:val="22"/>
          <w:szCs w:val="22"/>
        </w:rPr>
        <w:t xml:space="preserve"> </w:t>
      </w:r>
      <w:r>
        <w:rPr>
          <w:rFonts w:asciiTheme="minorEastAsia" w:hAnsiTheme="minorEastAsia" w:hint="eastAsia"/>
          <w:sz w:val="22"/>
          <w:szCs w:val="22"/>
        </w:rPr>
        <w:t>日</w:t>
      </w:r>
    </w:p>
    <w:p w14:paraId="4D856EBD" w14:textId="77777777" w:rsidR="007E5CA6" w:rsidRDefault="00B75A11">
      <w:pPr>
        <w:spacing w:line="440" w:lineRule="exact"/>
        <w:rPr>
          <w:rFonts w:ascii="SimSun" w:hAnsi="SimSun"/>
          <w:sz w:val="22"/>
          <w:szCs w:val="22"/>
        </w:rPr>
      </w:pPr>
      <w:r>
        <w:rPr>
          <w:rFonts w:ascii="SimSun" w:hAnsi="SimSun" w:hint="eastAsia"/>
          <w:sz w:val="22"/>
          <w:szCs w:val="22"/>
        </w:rPr>
        <w:lastRenderedPageBreak/>
        <w:t>附件：《再生资源列表、处理价格》</w:t>
      </w:r>
    </w:p>
    <w:tbl>
      <w:tblPr>
        <w:tblW w:w="8280" w:type="dxa"/>
        <w:tblInd w:w="568" w:type="dxa"/>
        <w:tblCellMar>
          <w:left w:w="28" w:type="dxa"/>
          <w:right w:w="28" w:type="dxa"/>
        </w:tblCellMar>
        <w:tblLook w:val="04A0" w:firstRow="1" w:lastRow="0" w:firstColumn="1" w:lastColumn="0" w:noHBand="0" w:noVBand="1"/>
      </w:tblPr>
      <w:tblGrid>
        <w:gridCol w:w="900"/>
        <w:gridCol w:w="2160"/>
        <w:gridCol w:w="1440"/>
        <w:gridCol w:w="1080"/>
        <w:gridCol w:w="1260"/>
        <w:gridCol w:w="1440"/>
      </w:tblGrid>
      <w:tr w:rsidR="007E5CA6" w14:paraId="28BB295A" w14:textId="77777777">
        <w:trPr>
          <w:trHeight w:val="885"/>
        </w:trPr>
        <w:tc>
          <w:tcPr>
            <w:tcW w:w="900" w:type="dxa"/>
            <w:tcBorders>
              <w:top w:val="single" w:sz="4" w:space="0" w:color="auto"/>
              <w:left w:val="single" w:sz="4" w:space="0" w:color="auto"/>
              <w:bottom w:val="single" w:sz="4" w:space="0" w:color="auto"/>
              <w:right w:val="single" w:sz="4" w:space="0" w:color="auto"/>
            </w:tcBorders>
            <w:shd w:val="clear" w:color="000000" w:fill="FFFFFF"/>
            <w:vAlign w:val="center"/>
          </w:tcPr>
          <w:p w14:paraId="66E0F383"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lang w:eastAsia="zh-TW"/>
              </w:rPr>
              <w:t>序号</w:t>
            </w:r>
          </w:p>
        </w:tc>
        <w:tc>
          <w:tcPr>
            <w:tcW w:w="2160" w:type="dxa"/>
            <w:tcBorders>
              <w:top w:val="single" w:sz="4" w:space="0" w:color="auto"/>
              <w:left w:val="nil"/>
              <w:bottom w:val="single" w:sz="4" w:space="0" w:color="auto"/>
              <w:right w:val="single" w:sz="4" w:space="0" w:color="auto"/>
            </w:tcBorders>
            <w:shd w:val="clear" w:color="000000" w:fill="FFFFFF"/>
            <w:vAlign w:val="center"/>
          </w:tcPr>
          <w:p w14:paraId="4F5630A4" w14:textId="77777777" w:rsidR="007E5CA6" w:rsidRDefault="00B75A11">
            <w:pPr>
              <w:widowControl/>
              <w:jc w:val="center"/>
              <w:rPr>
                <w:rFonts w:ascii="標楷體" w:eastAsia="標楷體" w:hAnsi="標楷體" w:cs="新細明體"/>
                <w:color w:val="000000"/>
                <w:kern w:val="0"/>
                <w:sz w:val="24"/>
                <w:lang w:eastAsia="zh-TW"/>
              </w:rPr>
            </w:pPr>
            <w:proofErr w:type="gramStart"/>
            <w:r>
              <w:rPr>
                <w:rFonts w:ascii="標楷體" w:eastAsia="標楷體" w:hAnsi="標楷體" w:cs="新細明體" w:hint="eastAsia"/>
                <w:color w:val="000000"/>
                <w:kern w:val="0"/>
                <w:sz w:val="24"/>
                <w:lang w:eastAsia="zh-TW"/>
              </w:rPr>
              <w:t>物料名</w:t>
            </w:r>
            <w:proofErr w:type="gramEnd"/>
            <w:r>
              <w:rPr>
                <w:rFonts w:ascii="標楷體" w:eastAsia="標楷體" w:hAnsi="標楷體" w:cs="新細明體" w:hint="eastAsia"/>
                <w:color w:val="000000"/>
                <w:kern w:val="0"/>
                <w:sz w:val="24"/>
                <w:lang w:eastAsia="zh-TW"/>
              </w:rPr>
              <w:t>称</w:t>
            </w:r>
          </w:p>
        </w:tc>
        <w:tc>
          <w:tcPr>
            <w:tcW w:w="1440" w:type="dxa"/>
            <w:tcBorders>
              <w:top w:val="single" w:sz="4" w:space="0" w:color="auto"/>
              <w:left w:val="nil"/>
              <w:bottom w:val="single" w:sz="4" w:space="0" w:color="auto"/>
              <w:right w:val="single" w:sz="4" w:space="0" w:color="auto"/>
            </w:tcBorders>
            <w:shd w:val="clear" w:color="000000" w:fill="FFFFFF"/>
            <w:vAlign w:val="center"/>
          </w:tcPr>
          <w:p w14:paraId="156F6217"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lang w:eastAsia="zh-TW"/>
              </w:rPr>
              <w:t>类别</w:t>
            </w:r>
          </w:p>
        </w:tc>
        <w:tc>
          <w:tcPr>
            <w:tcW w:w="1080" w:type="dxa"/>
            <w:tcBorders>
              <w:top w:val="single" w:sz="4" w:space="0" w:color="auto"/>
              <w:left w:val="nil"/>
              <w:bottom w:val="single" w:sz="4" w:space="0" w:color="auto"/>
              <w:right w:val="single" w:sz="4" w:space="0" w:color="auto"/>
            </w:tcBorders>
            <w:shd w:val="clear" w:color="000000" w:fill="FFFFFF"/>
            <w:vAlign w:val="center"/>
          </w:tcPr>
          <w:p w14:paraId="4CF6F03A"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lang w:eastAsia="zh-TW"/>
              </w:rPr>
              <w:t>单位</w:t>
            </w:r>
          </w:p>
        </w:tc>
        <w:tc>
          <w:tcPr>
            <w:tcW w:w="1260" w:type="dxa"/>
            <w:tcBorders>
              <w:top w:val="single" w:sz="4" w:space="0" w:color="auto"/>
              <w:left w:val="nil"/>
              <w:bottom w:val="single" w:sz="4" w:space="0" w:color="auto"/>
              <w:right w:val="single" w:sz="4" w:space="0" w:color="auto"/>
            </w:tcBorders>
            <w:shd w:val="clear" w:color="000000" w:fill="FFFFFF"/>
            <w:vAlign w:val="center"/>
          </w:tcPr>
          <w:p w14:paraId="7FB8F380" w14:textId="77777777" w:rsidR="007E5CA6" w:rsidRDefault="00B75A11">
            <w:pPr>
              <w:widowControl/>
              <w:jc w:val="center"/>
              <w:rPr>
                <w:rFonts w:ascii="標楷體" w:eastAsia="標楷體" w:hAnsi="標楷體" w:cs="新細明體"/>
                <w:color w:val="000000"/>
                <w:kern w:val="0"/>
                <w:sz w:val="24"/>
              </w:rPr>
            </w:pPr>
            <w:r>
              <w:rPr>
                <w:rFonts w:ascii="標楷體" w:eastAsia="標楷體" w:hAnsi="標楷體" w:cs="新細明體" w:hint="eastAsia"/>
                <w:color w:val="000000"/>
                <w:kern w:val="0"/>
                <w:sz w:val="24"/>
              </w:rPr>
              <w:t>不含稅单价</w:t>
            </w:r>
            <w:r>
              <w:rPr>
                <w:rFonts w:ascii="標楷體" w:eastAsia="標楷體" w:hAnsi="標楷體" w:cs="新細明體" w:hint="eastAsia"/>
                <w:color w:val="000000"/>
                <w:kern w:val="0"/>
                <w:sz w:val="24"/>
              </w:rPr>
              <w:t xml:space="preserve">  </w:t>
            </w:r>
            <w:r>
              <w:rPr>
                <w:rFonts w:ascii="標楷體" w:eastAsia="標楷體" w:hAnsi="標楷體" w:cs="新細明體" w:hint="eastAsia"/>
                <w:color w:val="000000"/>
                <w:kern w:val="0"/>
                <w:sz w:val="24"/>
              </w:rPr>
              <w:t>（人民币）</w:t>
            </w:r>
          </w:p>
        </w:tc>
        <w:tc>
          <w:tcPr>
            <w:tcW w:w="1440" w:type="dxa"/>
            <w:tcBorders>
              <w:top w:val="single" w:sz="4" w:space="0" w:color="auto"/>
              <w:left w:val="nil"/>
              <w:bottom w:val="single" w:sz="4" w:space="0" w:color="auto"/>
              <w:right w:val="single" w:sz="4" w:space="0" w:color="auto"/>
            </w:tcBorders>
            <w:shd w:val="clear" w:color="000000" w:fill="FFFFFF"/>
            <w:vAlign w:val="center"/>
          </w:tcPr>
          <w:p w14:paraId="3E40D205"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lang w:eastAsia="zh-TW"/>
              </w:rPr>
              <w:t>付款方</w:t>
            </w:r>
          </w:p>
        </w:tc>
      </w:tr>
      <w:tr w:rsidR="007E5CA6" w14:paraId="669992DB" w14:textId="77777777">
        <w:trPr>
          <w:trHeight w:val="439"/>
        </w:trPr>
        <w:tc>
          <w:tcPr>
            <w:tcW w:w="900" w:type="dxa"/>
            <w:tcBorders>
              <w:top w:val="nil"/>
              <w:left w:val="single" w:sz="4" w:space="0" w:color="auto"/>
              <w:bottom w:val="single" w:sz="4" w:space="0" w:color="auto"/>
              <w:right w:val="single" w:sz="4" w:space="0" w:color="auto"/>
            </w:tcBorders>
            <w:shd w:val="clear" w:color="auto" w:fill="auto"/>
            <w:vAlign w:val="center"/>
          </w:tcPr>
          <w:p w14:paraId="0CE95301" w14:textId="77777777" w:rsidR="007E5CA6" w:rsidRDefault="00B75A11">
            <w:pPr>
              <w:widowControl/>
              <w:jc w:val="center"/>
              <w:rPr>
                <w:rFonts w:ascii="標楷體" w:eastAsia="標楷體" w:hAnsi="標楷體" w:cs="新細明體"/>
                <w:color w:val="000000"/>
                <w:kern w:val="0"/>
                <w:sz w:val="24"/>
                <w:lang w:eastAsia="zh-TW"/>
              </w:rPr>
            </w:pPr>
            <w:bookmarkStart w:id="0" w:name="_Hlk123055230"/>
            <w:r>
              <w:rPr>
                <w:rFonts w:ascii="標楷體" w:eastAsia="標楷體" w:hAnsi="標楷體" w:cs="新細明體" w:hint="eastAsia"/>
                <w:color w:val="000000"/>
                <w:kern w:val="0"/>
                <w:sz w:val="24"/>
                <w:lang w:eastAsia="zh-TW"/>
              </w:rPr>
              <w:t>1</w:t>
            </w:r>
          </w:p>
        </w:tc>
        <w:tc>
          <w:tcPr>
            <w:tcW w:w="2160" w:type="dxa"/>
            <w:tcBorders>
              <w:top w:val="nil"/>
              <w:left w:val="nil"/>
              <w:bottom w:val="single" w:sz="4" w:space="0" w:color="auto"/>
              <w:right w:val="single" w:sz="4" w:space="0" w:color="auto"/>
            </w:tcBorders>
            <w:shd w:val="clear" w:color="auto" w:fill="auto"/>
            <w:vAlign w:val="center"/>
          </w:tcPr>
          <w:p w14:paraId="7FFE1F3B" w14:textId="77777777" w:rsidR="007E5CA6" w:rsidRDefault="00B75A11">
            <w:pPr>
              <w:widowControl/>
              <w:jc w:val="center"/>
              <w:rPr>
                <w:rFonts w:ascii="標楷體" w:eastAsia="標楷體" w:hAnsi="標楷體" w:cs="新細明體"/>
                <w:color w:val="000000"/>
                <w:kern w:val="0"/>
                <w:sz w:val="24"/>
              </w:rPr>
            </w:pPr>
            <w:r>
              <w:rPr>
                <w:rFonts w:ascii="標楷體" w:eastAsia="標楷體" w:hAnsi="標楷體" w:cs="新細明體" w:hint="eastAsia"/>
                <w:color w:val="000000"/>
                <w:kern w:val="0"/>
                <w:sz w:val="24"/>
              </w:rPr>
              <w:t>PPS+50%GF</w:t>
            </w:r>
            <w:r>
              <w:rPr>
                <w:rFonts w:ascii="標楷體" w:eastAsia="標楷體" w:hAnsi="標楷體" w:cs="新細明體" w:hint="eastAsia"/>
                <w:color w:val="000000"/>
                <w:kern w:val="0"/>
                <w:sz w:val="24"/>
              </w:rPr>
              <w:t>灰色塑料</w:t>
            </w:r>
          </w:p>
        </w:tc>
        <w:tc>
          <w:tcPr>
            <w:tcW w:w="1440" w:type="dxa"/>
            <w:tcBorders>
              <w:top w:val="nil"/>
              <w:left w:val="nil"/>
              <w:bottom w:val="single" w:sz="4" w:space="0" w:color="auto"/>
              <w:right w:val="single" w:sz="4" w:space="0" w:color="auto"/>
            </w:tcBorders>
            <w:shd w:val="clear" w:color="auto" w:fill="auto"/>
            <w:vAlign w:val="center"/>
          </w:tcPr>
          <w:p w14:paraId="42A36456"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rPr>
              <w:t>再生资源</w:t>
            </w:r>
          </w:p>
        </w:tc>
        <w:tc>
          <w:tcPr>
            <w:tcW w:w="1080" w:type="dxa"/>
            <w:tcBorders>
              <w:top w:val="nil"/>
              <w:left w:val="nil"/>
              <w:bottom w:val="single" w:sz="4" w:space="0" w:color="auto"/>
              <w:right w:val="single" w:sz="4" w:space="0" w:color="auto"/>
            </w:tcBorders>
            <w:shd w:val="clear" w:color="auto" w:fill="auto"/>
            <w:vAlign w:val="center"/>
          </w:tcPr>
          <w:p w14:paraId="7D028C37"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color w:val="000000"/>
                <w:kern w:val="0"/>
                <w:sz w:val="24"/>
              </w:rPr>
              <w:t>KG</w:t>
            </w:r>
          </w:p>
        </w:tc>
        <w:tc>
          <w:tcPr>
            <w:tcW w:w="1260" w:type="dxa"/>
            <w:tcBorders>
              <w:top w:val="nil"/>
              <w:left w:val="nil"/>
              <w:bottom w:val="single" w:sz="4" w:space="0" w:color="auto"/>
              <w:right w:val="single" w:sz="4" w:space="0" w:color="auto"/>
            </w:tcBorders>
            <w:shd w:val="clear" w:color="000000" w:fill="FFFFFF"/>
            <w:vAlign w:val="center"/>
          </w:tcPr>
          <w:p w14:paraId="4A56AD83" w14:textId="77777777" w:rsidR="007E5CA6" w:rsidRDefault="007E5CA6">
            <w:pPr>
              <w:widowControl/>
              <w:jc w:val="center"/>
              <w:rPr>
                <w:rFonts w:ascii="標楷體" w:hAnsi="標楷體" w:cs="新細明體"/>
                <w:color w:val="000000"/>
                <w:kern w:val="0"/>
                <w:sz w:val="24"/>
              </w:rPr>
            </w:pPr>
          </w:p>
        </w:tc>
        <w:tc>
          <w:tcPr>
            <w:tcW w:w="1440" w:type="dxa"/>
            <w:tcBorders>
              <w:top w:val="nil"/>
              <w:left w:val="nil"/>
              <w:bottom w:val="single" w:sz="4" w:space="0" w:color="auto"/>
              <w:right w:val="single" w:sz="4" w:space="0" w:color="auto"/>
            </w:tcBorders>
            <w:shd w:val="clear" w:color="auto" w:fill="auto"/>
            <w:vAlign w:val="center"/>
          </w:tcPr>
          <w:p w14:paraId="218F0E12" w14:textId="029D832C" w:rsidR="007E5CA6" w:rsidRDefault="007E5CA6">
            <w:pPr>
              <w:widowControl/>
              <w:jc w:val="center"/>
              <w:rPr>
                <w:rFonts w:ascii="標楷體" w:eastAsia="標楷體" w:hAnsi="標楷體" w:cs="新細明體"/>
                <w:color w:val="000000"/>
                <w:kern w:val="0"/>
                <w:sz w:val="24"/>
              </w:rPr>
            </w:pPr>
          </w:p>
        </w:tc>
      </w:tr>
      <w:bookmarkEnd w:id="0"/>
      <w:tr w:rsidR="007E5CA6" w14:paraId="2869ACCF" w14:textId="77777777">
        <w:trPr>
          <w:trHeight w:val="439"/>
        </w:trPr>
        <w:tc>
          <w:tcPr>
            <w:tcW w:w="900" w:type="dxa"/>
            <w:tcBorders>
              <w:top w:val="nil"/>
              <w:left w:val="single" w:sz="4" w:space="0" w:color="auto"/>
              <w:bottom w:val="single" w:sz="4" w:space="0" w:color="auto"/>
              <w:right w:val="single" w:sz="4" w:space="0" w:color="auto"/>
            </w:tcBorders>
            <w:shd w:val="clear" w:color="auto" w:fill="auto"/>
            <w:vAlign w:val="center"/>
          </w:tcPr>
          <w:p w14:paraId="20E89074"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lang w:eastAsia="zh-TW"/>
              </w:rPr>
              <w:t>2</w:t>
            </w:r>
          </w:p>
        </w:tc>
        <w:tc>
          <w:tcPr>
            <w:tcW w:w="2160" w:type="dxa"/>
            <w:tcBorders>
              <w:top w:val="nil"/>
              <w:left w:val="nil"/>
              <w:bottom w:val="single" w:sz="4" w:space="0" w:color="auto"/>
              <w:right w:val="single" w:sz="4" w:space="0" w:color="auto"/>
            </w:tcBorders>
            <w:shd w:val="clear" w:color="000000" w:fill="FFFFFF"/>
            <w:vAlign w:val="center"/>
          </w:tcPr>
          <w:p w14:paraId="32D58076" w14:textId="77777777" w:rsidR="007E5CA6" w:rsidRDefault="00B75A11">
            <w:pPr>
              <w:widowControl/>
              <w:jc w:val="center"/>
              <w:rPr>
                <w:rFonts w:ascii="標楷體" w:eastAsia="標楷體" w:hAnsi="標楷體" w:cs="新細明體"/>
                <w:color w:val="000000"/>
                <w:kern w:val="0"/>
                <w:sz w:val="24"/>
              </w:rPr>
            </w:pPr>
            <w:r>
              <w:rPr>
                <w:rFonts w:ascii="標楷體" w:eastAsia="標楷體" w:hAnsi="標楷體" w:cs="新細明體" w:hint="eastAsia"/>
                <w:color w:val="000000"/>
                <w:kern w:val="0"/>
                <w:sz w:val="24"/>
              </w:rPr>
              <w:t>PPS+50%GF</w:t>
            </w:r>
            <w:r>
              <w:rPr>
                <w:rFonts w:ascii="標楷體" w:eastAsia="標楷體" w:hAnsi="標楷體" w:cs="新細明體" w:hint="eastAsia"/>
                <w:color w:val="000000"/>
                <w:kern w:val="0"/>
                <w:sz w:val="24"/>
              </w:rPr>
              <w:t>黑色塑料</w:t>
            </w:r>
          </w:p>
        </w:tc>
        <w:tc>
          <w:tcPr>
            <w:tcW w:w="1440" w:type="dxa"/>
            <w:tcBorders>
              <w:top w:val="nil"/>
              <w:left w:val="nil"/>
              <w:bottom w:val="single" w:sz="4" w:space="0" w:color="auto"/>
              <w:right w:val="single" w:sz="4" w:space="0" w:color="auto"/>
            </w:tcBorders>
            <w:shd w:val="clear" w:color="auto" w:fill="auto"/>
            <w:vAlign w:val="center"/>
          </w:tcPr>
          <w:p w14:paraId="30ED04DF"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rPr>
              <w:t>再生资源</w:t>
            </w:r>
          </w:p>
        </w:tc>
        <w:tc>
          <w:tcPr>
            <w:tcW w:w="1080" w:type="dxa"/>
            <w:tcBorders>
              <w:top w:val="nil"/>
              <w:left w:val="nil"/>
              <w:bottom w:val="single" w:sz="4" w:space="0" w:color="auto"/>
              <w:right w:val="single" w:sz="4" w:space="0" w:color="auto"/>
            </w:tcBorders>
            <w:shd w:val="clear" w:color="auto" w:fill="auto"/>
          </w:tcPr>
          <w:p w14:paraId="206F4293"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color w:val="000000"/>
                <w:kern w:val="0"/>
                <w:sz w:val="24"/>
              </w:rPr>
              <w:t>KG</w:t>
            </w:r>
          </w:p>
        </w:tc>
        <w:tc>
          <w:tcPr>
            <w:tcW w:w="1260" w:type="dxa"/>
            <w:tcBorders>
              <w:top w:val="nil"/>
              <w:left w:val="nil"/>
              <w:bottom w:val="single" w:sz="4" w:space="0" w:color="auto"/>
              <w:right w:val="single" w:sz="4" w:space="0" w:color="auto"/>
            </w:tcBorders>
            <w:shd w:val="clear" w:color="000000" w:fill="FFFFFF"/>
            <w:vAlign w:val="center"/>
          </w:tcPr>
          <w:p w14:paraId="2FEDE869" w14:textId="77777777" w:rsidR="007E5CA6" w:rsidRDefault="007E5CA6">
            <w:pPr>
              <w:widowControl/>
              <w:jc w:val="center"/>
              <w:rPr>
                <w:rFonts w:ascii="標楷體" w:hAnsi="標楷體" w:cs="新細明體"/>
                <w:color w:val="000000"/>
                <w:kern w:val="0"/>
                <w:sz w:val="24"/>
              </w:rPr>
            </w:pPr>
          </w:p>
        </w:tc>
        <w:tc>
          <w:tcPr>
            <w:tcW w:w="1440" w:type="dxa"/>
            <w:tcBorders>
              <w:top w:val="nil"/>
              <w:left w:val="nil"/>
              <w:bottom w:val="single" w:sz="4" w:space="0" w:color="auto"/>
              <w:right w:val="single" w:sz="4" w:space="0" w:color="auto"/>
            </w:tcBorders>
            <w:shd w:val="clear" w:color="auto" w:fill="auto"/>
            <w:vAlign w:val="center"/>
          </w:tcPr>
          <w:p w14:paraId="4E5C2FE3" w14:textId="684F55DC" w:rsidR="007E5CA6" w:rsidRDefault="007E5CA6">
            <w:pPr>
              <w:widowControl/>
              <w:jc w:val="center"/>
              <w:rPr>
                <w:rFonts w:ascii="標楷體" w:eastAsia="標楷體" w:hAnsi="標楷體" w:cs="新細明體"/>
                <w:color w:val="000000"/>
                <w:kern w:val="0"/>
                <w:sz w:val="24"/>
              </w:rPr>
            </w:pPr>
          </w:p>
        </w:tc>
      </w:tr>
      <w:tr w:rsidR="007E5CA6" w14:paraId="2F2755D6" w14:textId="77777777">
        <w:trPr>
          <w:trHeight w:val="439"/>
        </w:trPr>
        <w:tc>
          <w:tcPr>
            <w:tcW w:w="900" w:type="dxa"/>
            <w:tcBorders>
              <w:top w:val="nil"/>
              <w:left w:val="single" w:sz="4" w:space="0" w:color="auto"/>
              <w:bottom w:val="single" w:sz="4" w:space="0" w:color="auto"/>
              <w:right w:val="single" w:sz="4" w:space="0" w:color="auto"/>
            </w:tcBorders>
            <w:shd w:val="clear" w:color="auto" w:fill="auto"/>
            <w:vAlign w:val="center"/>
          </w:tcPr>
          <w:p w14:paraId="1C2D5E96"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lang w:eastAsia="zh-TW"/>
              </w:rPr>
              <w:t>3</w:t>
            </w:r>
          </w:p>
        </w:tc>
        <w:tc>
          <w:tcPr>
            <w:tcW w:w="2160" w:type="dxa"/>
            <w:tcBorders>
              <w:top w:val="nil"/>
              <w:left w:val="nil"/>
              <w:bottom w:val="single" w:sz="4" w:space="0" w:color="auto"/>
              <w:right w:val="single" w:sz="4" w:space="0" w:color="auto"/>
            </w:tcBorders>
            <w:shd w:val="clear" w:color="000000" w:fill="FFFFFF"/>
            <w:vAlign w:val="center"/>
          </w:tcPr>
          <w:p w14:paraId="0D50FD71" w14:textId="77777777" w:rsidR="007E5CA6" w:rsidRDefault="00B75A11">
            <w:pPr>
              <w:widowControl/>
              <w:jc w:val="center"/>
              <w:rPr>
                <w:rFonts w:ascii="標楷體" w:eastAsia="標楷體" w:hAnsi="標楷體" w:cs="新細明體"/>
                <w:color w:val="000000"/>
                <w:kern w:val="0"/>
                <w:sz w:val="24"/>
                <w:lang w:eastAsia="zh-TW"/>
              </w:rPr>
            </w:pPr>
            <w:r>
              <w:rPr>
                <w:rFonts w:ascii="SimSun" w:hAnsi="SimSun" w:cs="新細明體" w:hint="eastAsia"/>
                <w:color w:val="000000"/>
                <w:kern w:val="0"/>
                <w:sz w:val="24"/>
              </w:rPr>
              <w:t>PC/AB</w:t>
            </w:r>
            <w:r>
              <w:rPr>
                <w:rFonts w:ascii="標楷體" w:eastAsia="標楷體" w:hAnsi="標楷體" w:cs="新細明體" w:hint="eastAsia"/>
                <w:color w:val="000000"/>
                <w:kern w:val="0"/>
                <w:sz w:val="24"/>
              </w:rPr>
              <w:t>黑色塑料</w:t>
            </w:r>
          </w:p>
        </w:tc>
        <w:tc>
          <w:tcPr>
            <w:tcW w:w="1440" w:type="dxa"/>
            <w:tcBorders>
              <w:top w:val="nil"/>
              <w:left w:val="nil"/>
              <w:bottom w:val="single" w:sz="4" w:space="0" w:color="auto"/>
              <w:right w:val="single" w:sz="4" w:space="0" w:color="auto"/>
            </w:tcBorders>
            <w:shd w:val="clear" w:color="auto" w:fill="auto"/>
            <w:vAlign w:val="center"/>
          </w:tcPr>
          <w:p w14:paraId="3D6FDAC8"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rPr>
              <w:t>再生资源</w:t>
            </w:r>
          </w:p>
        </w:tc>
        <w:tc>
          <w:tcPr>
            <w:tcW w:w="1080" w:type="dxa"/>
            <w:tcBorders>
              <w:top w:val="nil"/>
              <w:left w:val="nil"/>
              <w:bottom w:val="single" w:sz="4" w:space="0" w:color="auto"/>
              <w:right w:val="single" w:sz="4" w:space="0" w:color="auto"/>
            </w:tcBorders>
            <w:shd w:val="clear" w:color="auto" w:fill="auto"/>
          </w:tcPr>
          <w:p w14:paraId="5B1359FA"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color w:val="000000"/>
                <w:kern w:val="0"/>
                <w:sz w:val="24"/>
              </w:rPr>
              <w:t>KG</w:t>
            </w:r>
          </w:p>
        </w:tc>
        <w:tc>
          <w:tcPr>
            <w:tcW w:w="1260" w:type="dxa"/>
            <w:tcBorders>
              <w:top w:val="nil"/>
              <w:left w:val="nil"/>
              <w:bottom w:val="single" w:sz="4" w:space="0" w:color="auto"/>
              <w:right w:val="single" w:sz="4" w:space="0" w:color="auto"/>
            </w:tcBorders>
            <w:shd w:val="clear" w:color="000000" w:fill="FFFFFF"/>
            <w:vAlign w:val="center"/>
          </w:tcPr>
          <w:p w14:paraId="5BABD480" w14:textId="77777777" w:rsidR="007E5CA6" w:rsidRDefault="007E5CA6">
            <w:pPr>
              <w:widowControl/>
              <w:jc w:val="center"/>
              <w:rPr>
                <w:rFonts w:ascii="標楷體" w:hAnsi="標楷體" w:cs="新細明體"/>
                <w:color w:val="000000"/>
                <w:kern w:val="0"/>
                <w:sz w:val="24"/>
              </w:rPr>
            </w:pPr>
          </w:p>
        </w:tc>
        <w:tc>
          <w:tcPr>
            <w:tcW w:w="1440" w:type="dxa"/>
            <w:tcBorders>
              <w:top w:val="nil"/>
              <w:left w:val="nil"/>
              <w:bottom w:val="single" w:sz="4" w:space="0" w:color="auto"/>
              <w:right w:val="single" w:sz="4" w:space="0" w:color="auto"/>
            </w:tcBorders>
            <w:shd w:val="clear" w:color="auto" w:fill="auto"/>
            <w:vAlign w:val="center"/>
          </w:tcPr>
          <w:p w14:paraId="33E7E1EE" w14:textId="469DBFA6" w:rsidR="007E5CA6" w:rsidRDefault="007E5CA6">
            <w:pPr>
              <w:widowControl/>
              <w:jc w:val="center"/>
              <w:rPr>
                <w:rFonts w:ascii="標楷體" w:eastAsia="標楷體" w:hAnsi="標楷體" w:cs="新細明體"/>
                <w:color w:val="000000"/>
                <w:kern w:val="0"/>
                <w:sz w:val="24"/>
              </w:rPr>
            </w:pPr>
          </w:p>
        </w:tc>
      </w:tr>
      <w:tr w:rsidR="007E5CA6" w14:paraId="1C170E42" w14:textId="77777777">
        <w:trPr>
          <w:trHeight w:val="439"/>
        </w:trPr>
        <w:tc>
          <w:tcPr>
            <w:tcW w:w="900" w:type="dxa"/>
            <w:tcBorders>
              <w:top w:val="nil"/>
              <w:left w:val="single" w:sz="4" w:space="0" w:color="auto"/>
              <w:bottom w:val="single" w:sz="4" w:space="0" w:color="auto"/>
              <w:right w:val="single" w:sz="4" w:space="0" w:color="auto"/>
            </w:tcBorders>
            <w:shd w:val="clear" w:color="auto" w:fill="auto"/>
            <w:vAlign w:val="center"/>
          </w:tcPr>
          <w:p w14:paraId="0162E153"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lang w:eastAsia="zh-TW"/>
              </w:rPr>
              <w:t>4</w:t>
            </w:r>
          </w:p>
        </w:tc>
        <w:tc>
          <w:tcPr>
            <w:tcW w:w="2160" w:type="dxa"/>
            <w:tcBorders>
              <w:top w:val="nil"/>
              <w:left w:val="nil"/>
              <w:bottom w:val="single" w:sz="4" w:space="0" w:color="auto"/>
              <w:right w:val="single" w:sz="4" w:space="0" w:color="auto"/>
            </w:tcBorders>
            <w:shd w:val="clear" w:color="000000" w:fill="FFFFFF"/>
            <w:vAlign w:val="center"/>
          </w:tcPr>
          <w:p w14:paraId="64FBB799" w14:textId="77777777" w:rsidR="007E5CA6" w:rsidRDefault="00B75A11">
            <w:pPr>
              <w:widowControl/>
              <w:jc w:val="center"/>
              <w:rPr>
                <w:rFonts w:ascii="標楷體" w:eastAsia="標楷體" w:hAnsi="標楷體" w:cs="新細明體"/>
                <w:color w:val="000000"/>
                <w:kern w:val="0"/>
                <w:sz w:val="24"/>
                <w:lang w:eastAsia="zh-TW"/>
              </w:rPr>
            </w:pPr>
            <w:r>
              <w:rPr>
                <w:rFonts w:ascii="SimSun" w:hAnsi="SimSun" w:cs="新細明體" w:hint="eastAsia"/>
                <w:color w:val="000000"/>
                <w:kern w:val="0"/>
                <w:sz w:val="24"/>
              </w:rPr>
              <w:t>PA66</w:t>
            </w:r>
            <w:r>
              <w:rPr>
                <w:rFonts w:ascii="標楷體" w:eastAsia="標楷體" w:hAnsi="標楷體" w:cs="新細明體" w:hint="eastAsia"/>
                <w:color w:val="000000"/>
                <w:kern w:val="0"/>
                <w:sz w:val="24"/>
              </w:rPr>
              <w:t>黑色塑料</w:t>
            </w:r>
          </w:p>
        </w:tc>
        <w:tc>
          <w:tcPr>
            <w:tcW w:w="1440" w:type="dxa"/>
            <w:tcBorders>
              <w:top w:val="nil"/>
              <w:left w:val="nil"/>
              <w:bottom w:val="single" w:sz="4" w:space="0" w:color="auto"/>
              <w:right w:val="single" w:sz="4" w:space="0" w:color="auto"/>
            </w:tcBorders>
            <w:shd w:val="clear" w:color="auto" w:fill="auto"/>
            <w:vAlign w:val="center"/>
          </w:tcPr>
          <w:p w14:paraId="5E4760C5"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hint="eastAsia"/>
                <w:color w:val="000000"/>
                <w:kern w:val="0"/>
                <w:sz w:val="24"/>
              </w:rPr>
              <w:t>再生资源</w:t>
            </w:r>
          </w:p>
        </w:tc>
        <w:tc>
          <w:tcPr>
            <w:tcW w:w="1080" w:type="dxa"/>
            <w:tcBorders>
              <w:top w:val="nil"/>
              <w:left w:val="nil"/>
              <w:bottom w:val="single" w:sz="4" w:space="0" w:color="auto"/>
              <w:right w:val="single" w:sz="4" w:space="0" w:color="auto"/>
            </w:tcBorders>
            <w:shd w:val="clear" w:color="auto" w:fill="auto"/>
          </w:tcPr>
          <w:p w14:paraId="0614D2B9" w14:textId="77777777" w:rsidR="007E5CA6" w:rsidRDefault="00B75A11">
            <w:pPr>
              <w:widowControl/>
              <w:jc w:val="center"/>
              <w:rPr>
                <w:rFonts w:ascii="標楷體" w:eastAsia="標楷體" w:hAnsi="標楷體" w:cs="新細明體"/>
                <w:color w:val="000000"/>
                <w:kern w:val="0"/>
                <w:sz w:val="24"/>
                <w:lang w:eastAsia="zh-TW"/>
              </w:rPr>
            </w:pPr>
            <w:r>
              <w:rPr>
                <w:rFonts w:ascii="標楷體" w:eastAsia="標楷體" w:hAnsi="標楷體" w:cs="新細明體"/>
                <w:color w:val="000000"/>
                <w:kern w:val="0"/>
                <w:sz w:val="24"/>
              </w:rPr>
              <w:t>KG</w:t>
            </w:r>
          </w:p>
        </w:tc>
        <w:tc>
          <w:tcPr>
            <w:tcW w:w="1260" w:type="dxa"/>
            <w:tcBorders>
              <w:top w:val="nil"/>
              <w:left w:val="nil"/>
              <w:bottom w:val="single" w:sz="4" w:space="0" w:color="auto"/>
              <w:right w:val="single" w:sz="4" w:space="0" w:color="auto"/>
            </w:tcBorders>
            <w:shd w:val="clear" w:color="000000" w:fill="FFFFFF"/>
            <w:vAlign w:val="center"/>
          </w:tcPr>
          <w:p w14:paraId="66ECD076" w14:textId="77777777" w:rsidR="007E5CA6" w:rsidRDefault="007E5CA6">
            <w:pPr>
              <w:widowControl/>
              <w:jc w:val="center"/>
              <w:rPr>
                <w:rFonts w:ascii="標楷體" w:hAnsi="標楷體" w:cs="新細明體"/>
                <w:color w:val="000000"/>
                <w:kern w:val="0"/>
                <w:sz w:val="24"/>
              </w:rPr>
            </w:pPr>
          </w:p>
        </w:tc>
        <w:tc>
          <w:tcPr>
            <w:tcW w:w="1440" w:type="dxa"/>
            <w:tcBorders>
              <w:top w:val="nil"/>
              <w:left w:val="nil"/>
              <w:bottom w:val="single" w:sz="4" w:space="0" w:color="auto"/>
              <w:right w:val="single" w:sz="4" w:space="0" w:color="auto"/>
            </w:tcBorders>
            <w:shd w:val="clear" w:color="auto" w:fill="auto"/>
            <w:vAlign w:val="center"/>
          </w:tcPr>
          <w:p w14:paraId="300D8988" w14:textId="2CCE1E45" w:rsidR="007E5CA6" w:rsidRDefault="007E5CA6">
            <w:pPr>
              <w:widowControl/>
              <w:jc w:val="center"/>
              <w:rPr>
                <w:rFonts w:ascii="標楷體" w:eastAsia="標楷體" w:hAnsi="標楷體" w:cs="新細明體"/>
                <w:color w:val="000000"/>
                <w:kern w:val="0"/>
                <w:sz w:val="24"/>
              </w:rPr>
            </w:pPr>
          </w:p>
        </w:tc>
      </w:tr>
    </w:tbl>
    <w:p w14:paraId="12AA3EEF" w14:textId="77777777" w:rsidR="007E5CA6" w:rsidRDefault="007E5CA6">
      <w:pPr>
        <w:spacing w:line="440" w:lineRule="exact"/>
        <w:rPr>
          <w:rFonts w:ascii="SimSun" w:hAnsi="SimSun"/>
          <w:sz w:val="22"/>
          <w:szCs w:val="22"/>
        </w:rPr>
      </w:pPr>
    </w:p>
    <w:p w14:paraId="6E446AF0" w14:textId="77777777" w:rsidR="007E5CA6" w:rsidRDefault="007E5CA6">
      <w:pPr>
        <w:spacing w:line="440" w:lineRule="exact"/>
      </w:pPr>
      <w:bookmarkStart w:id="1" w:name="_GoBack"/>
      <w:bookmarkEnd w:id="1"/>
    </w:p>
    <w:p w14:paraId="0108917E" w14:textId="77777777" w:rsidR="007E5CA6" w:rsidRDefault="007E5CA6">
      <w:pPr>
        <w:spacing w:line="440" w:lineRule="exact"/>
      </w:pPr>
    </w:p>
    <w:p w14:paraId="41B3A8B7" w14:textId="77777777" w:rsidR="007E5CA6" w:rsidRDefault="007E5CA6">
      <w:pPr>
        <w:spacing w:line="440" w:lineRule="exact"/>
      </w:pPr>
    </w:p>
    <w:p w14:paraId="58959CFD" w14:textId="77777777" w:rsidR="007E5CA6" w:rsidRDefault="007E5CA6">
      <w:pPr>
        <w:spacing w:line="440" w:lineRule="exact"/>
      </w:pPr>
    </w:p>
    <w:p w14:paraId="5E19952A" w14:textId="77777777" w:rsidR="007E5CA6" w:rsidRDefault="007E5CA6">
      <w:pPr>
        <w:spacing w:line="440" w:lineRule="exact"/>
      </w:pPr>
    </w:p>
    <w:p w14:paraId="2307F92E" w14:textId="77777777" w:rsidR="007E5CA6" w:rsidRDefault="007E5CA6">
      <w:pPr>
        <w:spacing w:line="440" w:lineRule="exact"/>
      </w:pPr>
    </w:p>
    <w:p w14:paraId="0860F72A" w14:textId="77777777" w:rsidR="007E5CA6" w:rsidRDefault="007E5CA6">
      <w:pPr>
        <w:spacing w:line="440" w:lineRule="exact"/>
      </w:pPr>
    </w:p>
    <w:p w14:paraId="34F75344" w14:textId="77777777" w:rsidR="007E5CA6" w:rsidRDefault="007E5CA6">
      <w:pPr>
        <w:spacing w:line="440" w:lineRule="exact"/>
      </w:pPr>
    </w:p>
    <w:p w14:paraId="2E44BFB8" w14:textId="77777777" w:rsidR="007E5CA6" w:rsidRDefault="007E5CA6">
      <w:pPr>
        <w:spacing w:line="440" w:lineRule="exact"/>
      </w:pPr>
    </w:p>
    <w:p w14:paraId="5CBEC20D" w14:textId="77777777" w:rsidR="007E5CA6" w:rsidRDefault="007E5CA6">
      <w:pPr>
        <w:spacing w:line="440" w:lineRule="exact"/>
      </w:pPr>
    </w:p>
    <w:p w14:paraId="09CC042A" w14:textId="77777777" w:rsidR="007E5CA6" w:rsidRDefault="007E5CA6">
      <w:pPr>
        <w:spacing w:line="440" w:lineRule="exact"/>
      </w:pPr>
    </w:p>
    <w:p w14:paraId="0C4110C5" w14:textId="77777777" w:rsidR="007E5CA6" w:rsidRDefault="007E5CA6"/>
    <w:sectPr w:rsidR="007E5CA6">
      <w:pgSz w:w="11906" w:h="16838"/>
      <w:pgMar w:top="1440" w:right="567" w:bottom="1440" w:left="709" w:header="851" w:footer="431"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1FC75" w14:textId="77777777" w:rsidR="00B75A11" w:rsidRDefault="00B75A11">
      <w:r>
        <w:separator/>
      </w:r>
    </w:p>
  </w:endnote>
  <w:endnote w:type="continuationSeparator" w:id="0">
    <w:p w14:paraId="4998F1F3" w14:textId="77777777" w:rsidR="00B75A11" w:rsidRDefault="00B7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iTi_GB2312">
    <w:altName w:val="KaiTi"/>
    <w:panose1 w:val="02010609060101010101"/>
    <w:charset w:val="86"/>
    <w:family w:val="modern"/>
    <w:pitch w:val="default"/>
    <w:sig w:usb0="00000000" w:usb1="00000000" w:usb2="00000016" w:usb3="00000000" w:csb0="00040001" w:csb1="00000000"/>
  </w:font>
  <w:font w:name="Arial">
    <w:panose1 w:val="020B0604020202020204"/>
    <w:charset w:val="00"/>
    <w:family w:val="swiss"/>
    <w:pitch w:val="variable"/>
    <w:sig w:usb0="E0002EFF" w:usb1="C000785B" w:usb2="00000009" w:usb3="00000000" w:csb0="000001FF" w:csb1="00000000"/>
  </w:font>
  <w:font w:name="New Gulim">
    <w:altName w:val="Malgun Gothic"/>
    <w:charset w:val="81"/>
    <w:family w:val="roman"/>
    <w:pitch w:val="default"/>
    <w:sig w:usb0="00000000" w:usb1="00000000" w:usb2="00000030" w:usb3="00000000" w:csb0="0008009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0A1E6" w14:textId="77777777" w:rsidR="007E5CA6" w:rsidRDefault="00B75A11">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D25770F" w14:textId="77777777" w:rsidR="007E5CA6" w:rsidRDefault="007E5CA6">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A3200" w14:textId="77777777" w:rsidR="007E5CA6" w:rsidRDefault="00B75A11">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4090C">
      <w:rPr>
        <w:rStyle w:val="a7"/>
        <w:noProof/>
      </w:rPr>
      <w:t>5</w:t>
    </w:r>
    <w:r>
      <w:rPr>
        <w:rStyle w:val="a7"/>
      </w:rPr>
      <w:fldChar w:fldCharType="end"/>
    </w:r>
  </w:p>
  <w:p w14:paraId="7DFEA540" w14:textId="77777777" w:rsidR="007E5CA6" w:rsidRDefault="00B75A11">
    <w:pPr>
      <w:pStyle w:val="a3"/>
      <w:framePr w:wrap="around" w:vAnchor="text" w:hAnchor="margin" w:xAlign="right" w:y="1"/>
      <w:rPr>
        <w:rStyle w:val="a7"/>
      </w:rPr>
    </w:pPr>
    <w:r>
      <w:rPr>
        <w:rStyle w:val="a7"/>
        <w:rFonts w:hint="eastAsia"/>
      </w:rPr>
      <w:t xml:space="preserve"> </w:t>
    </w:r>
  </w:p>
  <w:p w14:paraId="3F6E2950" w14:textId="77777777" w:rsidR="007E5CA6" w:rsidRDefault="007E5CA6">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21E4B" w14:textId="77777777" w:rsidR="00B75A11" w:rsidRDefault="00B75A11">
      <w:r>
        <w:separator/>
      </w:r>
    </w:p>
  </w:footnote>
  <w:footnote w:type="continuationSeparator" w:id="0">
    <w:p w14:paraId="634882DF" w14:textId="77777777" w:rsidR="00B75A11" w:rsidRDefault="00B75A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662"/>
    <w:multiLevelType w:val="multilevel"/>
    <w:tmpl w:val="03230662"/>
    <w:lvl w:ilvl="0">
      <w:start w:val="1"/>
      <w:numFmt w:val="taiwaneseCountingThousand"/>
      <w:lvlText w:val="%1、"/>
      <w:lvlJc w:val="left"/>
      <w:pPr>
        <w:ind w:left="964" w:hanging="540"/>
      </w:pPr>
      <w:rPr>
        <w:rFonts w:hint="default"/>
      </w:rPr>
    </w:lvl>
    <w:lvl w:ilvl="1">
      <w:start w:val="1"/>
      <w:numFmt w:val="ideographTraditional"/>
      <w:lvlText w:val="%2、"/>
      <w:lvlJc w:val="left"/>
      <w:pPr>
        <w:ind w:left="1384" w:hanging="480"/>
      </w:pPr>
    </w:lvl>
    <w:lvl w:ilvl="2">
      <w:start w:val="1"/>
      <w:numFmt w:val="lowerRoman"/>
      <w:lvlText w:val="%3."/>
      <w:lvlJc w:val="right"/>
      <w:pPr>
        <w:ind w:left="1864" w:hanging="480"/>
      </w:pPr>
    </w:lvl>
    <w:lvl w:ilvl="3">
      <w:start w:val="1"/>
      <w:numFmt w:val="decimal"/>
      <w:lvlText w:val="%4."/>
      <w:lvlJc w:val="left"/>
      <w:pPr>
        <w:ind w:left="2344" w:hanging="480"/>
      </w:pPr>
    </w:lvl>
    <w:lvl w:ilvl="4">
      <w:start w:val="1"/>
      <w:numFmt w:val="ideographTraditional"/>
      <w:lvlText w:val="%5、"/>
      <w:lvlJc w:val="left"/>
      <w:pPr>
        <w:ind w:left="2824" w:hanging="480"/>
      </w:pPr>
    </w:lvl>
    <w:lvl w:ilvl="5">
      <w:start w:val="1"/>
      <w:numFmt w:val="lowerRoman"/>
      <w:lvlText w:val="%6."/>
      <w:lvlJc w:val="right"/>
      <w:pPr>
        <w:ind w:left="3304" w:hanging="480"/>
      </w:pPr>
    </w:lvl>
    <w:lvl w:ilvl="6">
      <w:start w:val="1"/>
      <w:numFmt w:val="decimal"/>
      <w:lvlText w:val="%7."/>
      <w:lvlJc w:val="left"/>
      <w:pPr>
        <w:ind w:left="3784" w:hanging="480"/>
      </w:pPr>
    </w:lvl>
    <w:lvl w:ilvl="7">
      <w:start w:val="1"/>
      <w:numFmt w:val="ideographTraditional"/>
      <w:lvlText w:val="%8、"/>
      <w:lvlJc w:val="left"/>
      <w:pPr>
        <w:ind w:left="4264" w:hanging="480"/>
      </w:pPr>
    </w:lvl>
    <w:lvl w:ilvl="8">
      <w:start w:val="1"/>
      <w:numFmt w:val="lowerRoman"/>
      <w:lvlText w:val="%9."/>
      <w:lvlJc w:val="right"/>
      <w:pPr>
        <w:ind w:left="4744" w:hanging="480"/>
      </w:pPr>
    </w:lvl>
  </w:abstractNum>
  <w:abstractNum w:abstractNumId="1">
    <w:nsid w:val="59DB7643"/>
    <w:multiLevelType w:val="multilevel"/>
    <w:tmpl w:val="59DB7643"/>
    <w:lvl w:ilvl="0">
      <w:start w:val="1"/>
      <w:numFmt w:val="taiwaneseCountingThousand"/>
      <w:lvlText w:val="%1、"/>
      <w:lvlJc w:val="left"/>
      <w:pPr>
        <w:ind w:left="960" w:hanging="480"/>
      </w:pPr>
      <w:rPr>
        <w:rFonts w:hint="default"/>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nsid w:val="64FB4E04"/>
    <w:multiLevelType w:val="multilevel"/>
    <w:tmpl w:val="64FB4E04"/>
    <w:lvl w:ilvl="0">
      <w:start w:val="1"/>
      <w:numFmt w:val="taiwaneseCountingThousand"/>
      <w:lvlText w:val="第%1條"/>
      <w:lvlJc w:val="left"/>
      <w:pPr>
        <w:ind w:left="915" w:hanging="915"/>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BD"/>
    <w:rsid w:val="00045F0C"/>
    <w:rsid w:val="00137A23"/>
    <w:rsid w:val="001D311B"/>
    <w:rsid w:val="0024090C"/>
    <w:rsid w:val="005244AD"/>
    <w:rsid w:val="00582ABD"/>
    <w:rsid w:val="007A1110"/>
    <w:rsid w:val="007E5CA6"/>
    <w:rsid w:val="00A74005"/>
    <w:rsid w:val="00B75A11"/>
    <w:rsid w:val="0A76325E"/>
    <w:rsid w:val="717B47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Body Text Indent 2"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SimSun" w:hAnsi="Times New Roman" w:cs="Times New Roman"/>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pPr>
      <w:spacing w:line="360" w:lineRule="auto"/>
      <w:ind w:firstLineChars="199" w:firstLine="478"/>
    </w:pPr>
    <w:rPr>
      <w:rFonts w:ascii="KaiTi_GB2312" w:eastAsia="KaiTi_GB2312"/>
      <w:kern w:val="0"/>
      <w:sz w:val="20"/>
      <w:lang w:val="zh-CN"/>
    </w:rPr>
  </w:style>
  <w:style w:type="paragraph" w:styleId="a3">
    <w:name w:val="footer"/>
    <w:basedOn w:val="a"/>
    <w:link w:val="a4"/>
    <w:unhideWhenUsed/>
    <w:pPr>
      <w:tabs>
        <w:tab w:val="center" w:pos="4153"/>
        <w:tab w:val="right" w:pos="8306"/>
      </w:tabs>
      <w:snapToGrid w:val="0"/>
    </w:pPr>
    <w:rPr>
      <w:sz w:val="20"/>
      <w:szCs w:val="20"/>
    </w:rPr>
  </w:style>
  <w:style w:type="paragraph" w:styleId="a5">
    <w:name w:val="header"/>
    <w:basedOn w:val="a"/>
    <w:link w:val="a6"/>
    <w:uiPriority w:val="99"/>
    <w:unhideWhenUsed/>
    <w:pPr>
      <w:tabs>
        <w:tab w:val="center" w:pos="4153"/>
        <w:tab w:val="right" w:pos="8306"/>
      </w:tabs>
      <w:snapToGrid w:val="0"/>
    </w:pPr>
    <w:rPr>
      <w:sz w:val="20"/>
      <w:szCs w:val="20"/>
    </w:rPr>
  </w:style>
  <w:style w:type="character" w:styleId="a7">
    <w:name w:val="page number"/>
    <w:basedOn w:val="a0"/>
  </w:style>
  <w:style w:type="character" w:customStyle="1" w:styleId="a6">
    <w:name w:val="頁首 字元"/>
    <w:basedOn w:val="a0"/>
    <w:link w:val="a5"/>
    <w:uiPriority w:val="99"/>
    <w:rPr>
      <w:sz w:val="20"/>
      <w:szCs w:val="20"/>
    </w:rPr>
  </w:style>
  <w:style w:type="character" w:customStyle="1" w:styleId="a4">
    <w:name w:val="頁尾 字元"/>
    <w:basedOn w:val="a0"/>
    <w:link w:val="a3"/>
    <w:rPr>
      <w:sz w:val="20"/>
      <w:szCs w:val="20"/>
    </w:rPr>
  </w:style>
  <w:style w:type="character" w:customStyle="1" w:styleId="20">
    <w:name w:val="本文縮排 2 字元"/>
    <w:basedOn w:val="a0"/>
    <w:link w:val="2"/>
    <w:rPr>
      <w:rFonts w:ascii="KaiTi_GB2312" w:eastAsia="KaiTi_GB2312" w:hAnsi="Times New Roman" w:cs="Times New Roman"/>
      <w:kern w:val="0"/>
      <w:sz w:val="20"/>
      <w:szCs w:val="24"/>
      <w:lang w:val="zh-CN" w:eastAsia="zh-CN"/>
    </w:rPr>
  </w:style>
  <w:style w:type="paragraph" w:styleId="a8">
    <w:name w:val="List Paragraph"/>
    <w:basedOn w:val="a"/>
    <w:uiPriority w:val="34"/>
    <w:qFormat/>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Body Text Indent 2"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SimSun" w:hAnsi="Times New Roman" w:cs="Times New Roman"/>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pPr>
      <w:spacing w:line="360" w:lineRule="auto"/>
      <w:ind w:firstLineChars="199" w:firstLine="478"/>
    </w:pPr>
    <w:rPr>
      <w:rFonts w:ascii="KaiTi_GB2312" w:eastAsia="KaiTi_GB2312"/>
      <w:kern w:val="0"/>
      <w:sz w:val="20"/>
      <w:lang w:val="zh-CN"/>
    </w:rPr>
  </w:style>
  <w:style w:type="paragraph" w:styleId="a3">
    <w:name w:val="footer"/>
    <w:basedOn w:val="a"/>
    <w:link w:val="a4"/>
    <w:unhideWhenUsed/>
    <w:pPr>
      <w:tabs>
        <w:tab w:val="center" w:pos="4153"/>
        <w:tab w:val="right" w:pos="8306"/>
      </w:tabs>
      <w:snapToGrid w:val="0"/>
    </w:pPr>
    <w:rPr>
      <w:sz w:val="20"/>
      <w:szCs w:val="20"/>
    </w:rPr>
  </w:style>
  <w:style w:type="paragraph" w:styleId="a5">
    <w:name w:val="header"/>
    <w:basedOn w:val="a"/>
    <w:link w:val="a6"/>
    <w:uiPriority w:val="99"/>
    <w:unhideWhenUsed/>
    <w:pPr>
      <w:tabs>
        <w:tab w:val="center" w:pos="4153"/>
        <w:tab w:val="right" w:pos="8306"/>
      </w:tabs>
      <w:snapToGrid w:val="0"/>
    </w:pPr>
    <w:rPr>
      <w:sz w:val="20"/>
      <w:szCs w:val="20"/>
    </w:rPr>
  </w:style>
  <w:style w:type="character" w:styleId="a7">
    <w:name w:val="page number"/>
    <w:basedOn w:val="a0"/>
  </w:style>
  <w:style w:type="character" w:customStyle="1" w:styleId="a6">
    <w:name w:val="頁首 字元"/>
    <w:basedOn w:val="a0"/>
    <w:link w:val="a5"/>
    <w:uiPriority w:val="99"/>
    <w:rPr>
      <w:sz w:val="20"/>
      <w:szCs w:val="20"/>
    </w:rPr>
  </w:style>
  <w:style w:type="character" w:customStyle="1" w:styleId="a4">
    <w:name w:val="頁尾 字元"/>
    <w:basedOn w:val="a0"/>
    <w:link w:val="a3"/>
    <w:rPr>
      <w:sz w:val="20"/>
      <w:szCs w:val="20"/>
    </w:rPr>
  </w:style>
  <w:style w:type="character" w:customStyle="1" w:styleId="20">
    <w:name w:val="本文縮排 2 字元"/>
    <w:basedOn w:val="a0"/>
    <w:link w:val="2"/>
    <w:rPr>
      <w:rFonts w:ascii="KaiTi_GB2312" w:eastAsia="KaiTi_GB2312" w:hAnsi="Times New Roman" w:cs="Times New Roman"/>
      <w:kern w:val="0"/>
      <w:sz w:val="20"/>
      <w:szCs w:val="24"/>
      <w:lang w:val="zh-CN" w:eastAsia="zh-CN"/>
    </w:rPr>
  </w:style>
  <w:style w:type="paragraph" w:styleId="a8">
    <w:name w:val="List Paragraph"/>
    <w:basedOn w:val="a"/>
    <w:uiPriority w:val="34"/>
    <w:qFormat/>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2811389577@qq.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esponsiblebusiness.org/standards/code-of-conduc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emma.ma</dc:creator>
  <cp:lastModifiedBy>shelley.pan(潘敏-WTK)</cp:lastModifiedBy>
  <cp:revision>4</cp:revision>
  <dcterms:created xsi:type="dcterms:W3CDTF">2023-11-30T06:55:00Z</dcterms:created>
  <dcterms:modified xsi:type="dcterms:W3CDTF">2025-07-29T00:36:00Z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eyJoZGlkIjoiYWE1Y2IyZjVlOWRjYzQ0ZTAxNWJmZWNhN2JiYjlmMWYiLCJ1c2VySWQiOiIzODMwNTM2NTYifQ==</vt:lpwstr>
  </property>
  <property fmtid="{D5CDD505-2E9C-101B-9397-08002B2CF9AE}" pid="3" name="KSOProductBuildVer">
    <vt:lpwstr>2052-12.1.0.21915</vt:lpwstr>
  </property>
  <property fmtid="{D5CDD505-2E9C-101B-9397-08002B2CF9AE}" pid="4" name="ICV">
    <vt:lpwstr>81DFD87132CE438498BC0C19ABED7525_12</vt:lpwstr>
  </property>
</Properties>
</file>