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城市骑行调研报告</w:t>
      </w:r>
    </w:p>
    <w:p>
      <w:r>
        <w:t>本报告基于 2025 年对 12 个城市、共 3,600 名骑行者的问卷与访谈。</w:t>
      </w:r>
    </w:p>
    <w:p>
      <w:pPr>
        <w:pStyle w:val="Heading1"/>
      </w:pPr>
      <w:r>
        <w:t>一、核心发现</w:t>
      </w:r>
    </w:p>
    <w:p>
      <w:r>
        <w:t>通勤骑行比例达到 41%，比三年前提升 17 个百分点。平均单次骑行距离为 4.2 公里。</w:t>
      </w:r>
    </w:p>
    <w:p>
      <w:pPr>
        <w:pStyle w:val="Heading2"/>
      </w:pPr>
      <w:r>
        <w:t>骑行的主要原因</w:t>
      </w:r>
    </w:p>
    <w:p>
      <w:pPr>
        <w:pStyle w:val="ListBullet"/>
      </w:pPr>
      <w:r>
        <w:t>省时：避开拥堵</w:t>
      </w:r>
    </w:p>
    <w:p>
      <w:pPr>
        <w:pStyle w:val="ListBullet"/>
      </w:pPr>
      <w:r>
        <w:t>健康：日常锻炼</w:t>
      </w:r>
    </w:p>
    <w:p>
      <w:pPr>
        <w:pStyle w:val="ListBullet"/>
      </w:pPr>
      <w:r>
        <w:t>省钱：替代打车</w:t>
      </w:r>
    </w:p>
    <w:p>
      <w:pPr>
        <w:pStyle w:val="ListBullet"/>
      </w:pPr>
      <w:r>
        <w:t>环保：减少排放</w:t>
      </w:r>
    </w:p>
    <w:p>
      <w:pPr>
        <w:pStyle w:val="Heading1"/>
      </w:pPr>
      <w:r>
        <w:t>二、城市对比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城市</w:t>
            </w:r>
          </w:p>
        </w:tc>
        <w:tc>
          <w:tcPr>
            <w:tcW w:type="dxa" w:w="2880"/>
          </w:tcPr>
          <w:p>
            <w:r>
              <w:t>骑行通勤占比</w:t>
            </w:r>
          </w:p>
        </w:tc>
        <w:tc>
          <w:tcPr>
            <w:tcW w:type="dxa" w:w="2880"/>
          </w:tcPr>
          <w:p>
            <w:r>
              <w:t>自行车道（公里）</w:t>
            </w:r>
          </w:p>
        </w:tc>
      </w:tr>
      <w:tr>
        <w:tc>
          <w:tcPr>
            <w:tcW w:type="dxa" w:w="2880"/>
          </w:tcPr>
          <w:p>
            <w:r>
              <w:t>深圳</w:t>
            </w:r>
          </w:p>
        </w:tc>
        <w:tc>
          <w:tcPr>
            <w:tcW w:type="dxa" w:w="2880"/>
          </w:tcPr>
          <w:p>
            <w:r>
              <w:t>46%</w:t>
            </w:r>
          </w:p>
        </w:tc>
        <w:tc>
          <w:tcPr>
            <w:tcW w:type="dxa" w:w="2880"/>
          </w:tcPr>
          <w:p>
            <w:r>
              <w:t>2,800</w:t>
            </w:r>
          </w:p>
        </w:tc>
      </w:tr>
      <w:tr>
        <w:tc>
          <w:tcPr>
            <w:tcW w:type="dxa" w:w="2880"/>
          </w:tcPr>
          <w:p>
            <w:r>
              <w:t>成都</w:t>
            </w:r>
          </w:p>
        </w:tc>
        <w:tc>
          <w:tcPr>
            <w:tcW w:type="dxa" w:w="2880"/>
          </w:tcPr>
          <w:p>
            <w:r>
              <w:t>44%</w:t>
            </w:r>
          </w:p>
        </w:tc>
        <w:tc>
          <w:tcPr>
            <w:tcW w:type="dxa" w:w="2880"/>
          </w:tcPr>
          <w:p>
            <w:r>
              <w:t>2,300</w:t>
            </w:r>
          </w:p>
        </w:tc>
      </w:tr>
      <w:tr>
        <w:tc>
          <w:tcPr>
            <w:tcW w:type="dxa" w:w="2880"/>
          </w:tcPr>
          <w:p>
            <w:r>
              <w:t>杭州</w:t>
            </w:r>
          </w:p>
        </w:tc>
        <w:tc>
          <w:tcPr>
            <w:tcW w:type="dxa" w:w="2880"/>
          </w:tcPr>
          <w:p>
            <w:r>
              <w:t>41%</w:t>
            </w:r>
          </w:p>
        </w:tc>
        <w:tc>
          <w:tcPr>
            <w:tcW w:type="dxa" w:w="2880"/>
          </w:tcPr>
          <w:p>
            <w:r>
              <w:t>2,100</w:t>
            </w:r>
          </w:p>
        </w:tc>
      </w:tr>
      <w:tr>
        <w:tc>
          <w:tcPr>
            <w:tcW w:type="dxa" w:w="2880"/>
          </w:tcPr>
          <w:p>
            <w:r>
              <w:t>北京</w:t>
            </w:r>
          </w:p>
        </w:tc>
        <w:tc>
          <w:tcPr>
            <w:tcW w:type="dxa" w:w="2880"/>
          </w:tcPr>
          <w:p>
            <w:r>
              <w:t>38%</w:t>
            </w:r>
          </w:p>
        </w:tc>
        <w:tc>
          <w:tcPr>
            <w:tcW w:type="dxa" w:w="2880"/>
          </w:tcPr>
          <w:p>
            <w:r>
              <w:t>3,200</w:t>
            </w:r>
          </w:p>
        </w:tc>
      </w:tr>
      <w:tr>
        <w:tc>
          <w:tcPr>
            <w:tcW w:type="dxa" w:w="2880"/>
          </w:tcPr>
          <w:p>
            <w:r>
              <w:t>上海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2,600</w:t>
            </w:r>
          </w:p>
        </w:tc>
      </w:tr>
    </w:tbl>
    <w:p>
      <w:pPr>
        <w:pStyle w:val="Heading1"/>
      </w:pPr>
      <w:r>
        <w:t>三、建议</w:t>
      </w:r>
    </w:p>
    <w:p>
      <w:pPr>
        <w:pStyle w:val="ListNumber"/>
      </w:pPr>
      <w:r>
        <w:t>加密社区微循环车道</w:t>
      </w:r>
    </w:p>
    <w:p>
      <w:pPr>
        <w:pStyle w:val="ListNumber"/>
      </w:pPr>
      <w:r>
        <w:t>地铁站增设停车点</w:t>
      </w:r>
    </w:p>
    <w:p>
      <w:pPr>
        <w:pStyle w:val="ListNumber"/>
      </w:pPr>
      <w:r>
        <w:t>推广电动助力车标准</w:t>
      </w:r>
    </w:p>
    <w:p>
      <w:pPr>
        <w:pStyle w:val="IntenseQuote"/>
      </w:pPr>
      <w:r>
        <w:t>骑行不是替代，而是城市交通的毛细血管。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