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宋体" w:hAnsi="宋体" w:eastAsia="宋体"/>
          <w:b/>
          <w:color w:val="1F3864"/>
          <w:sz w:val="48"/>
        </w:rPr>
        <w:t>中建三局与主要竞争对手</w:t>
        <w:br/>
        <w:t>同场竞技报价得分专题报告</w:t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26"/>
        </w:rPr>
        <w:t>——基于 144 个项目、2,619 条定标候选人记录的配对分析</w:t>
      </w:r>
    </w:p>
    <w:p>
      <w:pPr>
        <w:spacing w:before="720"/>
        <w:jc w:val="center"/>
      </w:pPr>
      <w:r>
        <w:rPr>
          <w:rFonts w:ascii="宋体" w:hAnsi="宋体" w:eastAsia="宋体"/>
          <w:b w:val="0"/>
          <w:color w:val="595959"/>
          <w:sz w:val="24"/>
        </w:rPr>
        <w:t>编制单位：中建三局福建投资公司市场营销部</w:t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24"/>
        </w:rPr>
        <w:t>报告日期：2026年9月6日</w:t>
      </w:r>
    </w:p>
    <w:p>
      <w:pPr>
        <w:spacing w:before="1000"/>
        <w:jc w:val="center"/>
      </w:pPr>
      <w:r>
        <w:rPr>
          <w:rFonts w:ascii="宋体" w:hAnsi="宋体" w:eastAsia="宋体"/>
          <w:b w:val="0"/>
          <w:color w:val="808080"/>
          <w:sz w:val="21"/>
        </w:rPr>
        <w:t>数据源：《2026年9月2日 李念交易中心项目定标候选人信息分析表_合规校验》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21"/>
        </w:rPr>
        <w:t>政策依据：《厦门市住房和建设局关于印发建设工程招投标评定分离办法的通知》（厦住建规〔2024〕6号）</w:t>
      </w:r>
    </w:p>
    <w:p>
      <w:r>
        <w:br w:type="page"/>
      </w:r>
    </w:p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一、核心结论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中建三局的报价得分在同场竞技中并不落下风，甚至小幅领先；但这份领先既不稳定、也无法兑现为中标。真正的断裂点在于：三局报价得分拿到项目第 1 名共 34 次，一次都没有中标（全体基准中标率 7.94%、中建八局 29.0%）。报价这一环已经"做好了"，卡住的是报价之后的综合得分闸门。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294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5329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关键数据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报价得分小幅领先同场对手，但幅度有限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合并配对 n=1,099，三局得分差 +0.97 分（p=0.0033）；三局更优 27.2%、持平 52.6%、落后 20.2%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领先高度依赖定标方法：高分低价法显著领先，高分随机法不占优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高分低价法 n=373 得分差 +3.00 分（p=0.0001）；高分随机法 n=552 得分差 −0.56 分（p=0.2362，不显著）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满分档命中率显著高于同场对手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 30.3% vs 全体 23.4%；同场配对 +5.31 个百分点（p=0.0019）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但报价得分显著低于最终中标者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 86.70 分 vs 同场中标者 90.25 分，差 −3.42 分（p=0.0157）；中标者满分档占比 41.5%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报价得分第 1 名却 0 中标，是本次最突出的异常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 34 次报价得分第 1 名，中标 0 次；全体基准 7.94%、中建八局 29.0%（31 次第 1 名）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闸门在综合得分：报价第 1 名时综合得分仍只排第 5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三局报价得分第 1 名的 34 条记录，综合得分排名中位 5.0 名 / 同场候选人数中位 19.5 家，进前 3 名仅 32.4%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报价环节的量级不足以弥补综合得分缺口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报价得分优势 +0.97 分，按 25% 权重仅折算 +0.24 总分；而三局综合得分距中标者均值缺口 2.82 分（93.39 vs 96.21）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报价得分的市场价值随定标方法分化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高分随机法：报价第 1 名中标率 9.40% vs 非第 1 名 2.81%（+6.59pp）；高分低价法：6.18% vs 5.30%（+0.88pp）</w:t>
            </w:r>
          </w:p>
        </w:tc>
      </w:tr>
    </w:tbl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二、数据口径与分析方法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2.1 数据源与样本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本报告使用《2026年9月2日 李念交易中心项目定标候选人信息分析表_合规校验》，该表覆盖 768 个项目、14,519 条定标候选人记录（公示期间 2021-03-02 至 2026-08-27）。其中"定标委员会推荐的中标人"字段非空的记录共 2,619 条、涉及 144 个项目，构成可计算报价得分与判定中标结果的有效样本，本报告全部分析均基于该 144 个项目。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样本口径</w:t>
            </w:r>
          </w:p>
        </w:tc>
        <w:tc>
          <w:tcPr>
            <w:tcW w:type="dxa" w:w="181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记录数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项目数</w:t>
            </w:r>
          </w:p>
        </w:tc>
        <w:tc>
          <w:tcPr>
            <w:tcW w:type="dxa" w:w="4195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全量源表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14,519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768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原始数据；其中 624 个项目无推荐中标人结果，不可用于中标率与得分对比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有中标结果样本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2,619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144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本报告分析样本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报价得分有效样本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2,542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142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剔除 77 条源表标注"数据不全，无法计算，需人工核查"的记录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中建三局样本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78 条（有效得分 76 条）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73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三局参与投标并可计算报价得分的记录与项目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2.2 报价得分的定义与口径说明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（1）指标来源。本报告的"报价得分"直接取自源表第 51 列「报价分所在档次」，即各项目招标文件实际评定的报价子要素得分（原文形如"第1档/100分""第2档/87.5分""第2档/90分"），而非按政策条文推算。该字段为招标人公示的实际评定结果，权威性高于任何推算值。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（2）档距不统一，须谨慎跨项目比较。各项目招标文件的报价分档并非单一标准：样本中 12.5 分档距（100/87.5/75/62.5/50）涉及 1,281 条记录、10 分档距（100/90/80/70/60/50）涉及 1,103 条记录，另有 235 条为其他或无法归类。因此"相差一档"在不同项目中含义不同（12.5 分或 10 分）。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（3）可比指标的选择。鉴于档距不统一，本报告采用两项互补指标：① 百分制报价得分——跨项目可比，用于总体水平比较；② 满分档命中率（是否取得"第1档/100分"）——各项目满分档含义完全一致（报价下浮率落在 K 值±0.5% 区间内），是最稳健的跨项目可比指标。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（4）辅助指标。期望报价得分（把 K 抽取区间内每个可能的 K 值都试算一遍后取平均）用于剔除抽签运气、衡量报价位置本身选得对不对；K 值百分位用于刻画报价在区间中的相对位置。二者在本报告中作为解释性辅助，不作为主要结论依据。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2.3 同场配对与检验方法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同场竞技的定义为"同一招标项目内中建三局与某对手均有投标记录"。配对步骤：① 以项目为配对单位（同一项目 K 抽取区间相同，报价得分可比）；② 若某品牌在同一项目有多条记录（如多个子公司同时投标），先取该品牌在项目内的均值；③ 逐对计算"三局得分 − 对手得分"；④ 对所有配对汇总，报告均值、中位数、三局更优/持平/落后比例，并做配对置换检验（10,000 次随机翻转差值符号）。仅纳入同场项目数 ≥ 5 的对手进入分对手表；合并配对则纳入所有对手。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显著性判定：p &lt; 0.05 视为统计显著；p 介于 0.05—0.10 视为边际显著（提示性证据）；p ≥ 0.05 一律不下强结论，如实说明"差异不显著"。本报告全部 p 值均来自置换检验，不依赖分布假设。</w:t>
      </w:r>
    </w:p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三、全样本报价得分格局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3.1 总体分布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全部有效样本 n=2,542，报价得分均值 83.86 分、中位数 87.50 分、标准差 14.55 分。分布高度集中于中上档：满分档（100 分）占 23.4%、第二档占 39.8%，合计 87.5 分及以上占 63.2%；落入 62.5 分及以下的占 13.3%。这说明多数投标人的报价能够落在 K 值附近，纯粹因报价失误而大幅失分的情况是少数。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8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得分区间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记录数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4422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业务含义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 分（第 1 档 / 满分档）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595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23.4%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报价下浮率落在抽取 K 值 ±0.5% 的满分区间内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87.5 分（第 2 档）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1,012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39.8%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偏离满分区间 1 档（12.5 分制）或 90 分档（10 分制）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75 分（第 3 档）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523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20.6%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偏离 2 档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62.5 分（第 4 档）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146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偏离 3 档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 分（第 5 档及以下）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266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10.5%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偏离 4 档及以上，报价严重偏离 K 值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3.2 两种定标方法下的得分格局差异显著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高分随机法与高分低价法虽然共用同一套报价评分规则，但实测得分格局差异很大：高分随机法下满分档占比 30.0%，高分低价法下仅 16.8%，相差 13.2 个百分点；均值 86.29 分 vs 81.25 分，相差 5.04 分。这一差异源于两类项目的竞争强度与报价离散程度不同，也意味着同一份报价在两种方法中面临的评分环境并不相同。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47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定标方法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有效样本 n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均值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中位数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标准差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满分档占比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87.5 分及以上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62.5 分及以下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高分随机法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1,208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86.29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87.50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13.58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30.0%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71.9%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10.1%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高分低价法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1,130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81.25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87.50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15.31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16.8%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53.8%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16.7%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2,542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83.86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87.50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14.55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23.4%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63.2%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</w:tbl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四、中建三局报价得分总体表现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4.1 与全体样本对比：小幅领先，但未达统计显著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中建三局 76 条有效得分记录，均值 85.92 分、中位数 90.00 分、标准差 14.14 分，高于全体均值 83.86 分（+2.06 分）、中位数高 2.50 分。但置换检验 p=0.2078，未达显著——以 76 条的样本量，2 分左右的差距尚不能被稳定检出。值得注意的是，三局的期望报价得分 80.90 分亦高于全体 78.33 分（+2.57 分），说明三局的报价位置选择本身也略优于市场平均，而非仅靠抽签运气。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有效 n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均值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中位数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标准差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满分档占比</w:t>
            </w:r>
          </w:p>
        </w:tc>
        <w:tc>
          <w:tcPr>
            <w:tcW w:type="dxa" w:w="147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62.5 分及以下占比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中标率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中建三局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76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85.92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90.00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14.14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30.3%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10.5%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5.3%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非三局全体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2,466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83.80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87.50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14.57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23.2%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2,542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83.86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87.50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14.55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23.4%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最终中标者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147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87.53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90.00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41.5%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4.2 满分档命中率：三局明显优于市场，但距中标者仍有差距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满分档命中率是最稳健的跨项目可比指标。三局 30.3%，高于全体 23.4%（+6.9 个百分点），但明显低于最终中标者的 41.5%（−11.2 个百分点）。这条"三局 &gt; 市场平均，但 &lt; 中标者"的梯度，与下文同场配对中"三局 &gt; 同场对手，但 &lt; 同场中标者"的结论完全一致，构成本报告最核心的结构性发现。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满分档命中率</w:t>
            </w:r>
          </w:p>
        </w:tc>
        <w:tc>
          <w:tcPr>
            <w:tcW w:type="dxa" w:w="113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相对全体</w:t>
            </w:r>
          </w:p>
        </w:tc>
        <w:tc>
          <w:tcPr>
            <w:tcW w:type="dxa" w:w="4535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解读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最终中标者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41.5%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+18.1pp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中标者的报价命中率接近三局的 1.4 倍，是中标的重要伴生特征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中建三局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30.3%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+6.9pp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优于市场平均，说明报价能力不是短板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全体（市场平均）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23.4%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基准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4.3 年度变化：2026 年报价质量明显提升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分年度看，三局 2025 年报价得分均值 84.10 分（n=50），与全体 83.45 分基本持平（+0.65 分）；2026 年升至 89.42 分（n=26），高于全体 84.63 分达 4.80 分。两年间三局绝对水平提升 5.32 分，相对市场的领先从 0.65 分扩大到 4.80 分，表明报价端的改进措施已见成效。（样本仅覆盖 2025—2026 年，更早年度三局有效得分记录不足 3 条，未纳入统计。）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 n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三局得分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全体 n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全体得分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差值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2025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84.10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1,651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83.45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+0.65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89.42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891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84.63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+4.80</w:t>
            </w:r>
          </w:p>
        </w:tc>
      </w:tr>
    </w:tbl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五、同场竞技配对分析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5.1 全样本合并配对：小幅领先，统计显著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将三局与其所有同场对手逐一配对，共得到 1,099 个配对。三局平均得分差 +0.97 分（中位数 0.00 分），置换检验 p=0.0033，达到统计显著。分方向看：三局更优 27.2%、持平 52.6%、落后 20.2%——超过一半的配对是持平（同一档次），这正是分档评分机制的特征：报价差异只有在跨档时才体现为得分差，同档内无论偏离多少得分完全相同。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口径提示：在"同时可计算综合得分"的配对子集（n=736）中，三局报价得分差为 −0.04 分，p=0.9324，不再显著。两个子集结论不一致，说明三局的报价得分优势方向为正但幅度很小、对样本口径敏感。本报告据实披露两个口径，不作选择性引用；总体判断为"报价环节不构成短板，但优势幅度有限"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04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配对口径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配对数 n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三局得分差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中位数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三局更优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持平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三局落后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p 值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全样本配对（所有对手）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1,099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+0.97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27.2%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52.6%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20.2%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0.0033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同时有综合得分的子集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736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−0.04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0.9324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5.2 分对手配对：对多数中建系对手占优，个别对手处下风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下表列出同场项目数最多的 14 家对手。正值表示三局得分更高。可以看到，三局对中建二局（+2.76）、中建八局（+1.43）、中建四局（+1.64）、中建五局（+1.19）等中建系对手普遍占优，对上海建工（−1.47）、厦门上建（−1.89）、中建一局（−0.24）、中建海峡（−0.23）略处下风；但没有任何一家对手的差异达到统计显著（p 值 0.13—1.00）。这提示：三局与单个对手之间的报价得分差距都很小，优势是在大量配对累积后才显现出来的。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1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同场项目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三局得分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对手得分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得分差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三局更优%</w:t>
            </w:r>
          </w:p>
        </w:tc>
        <w:tc>
          <w:tcPr>
            <w:tcW w:type="dxa" w:w="79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持平%</w:t>
            </w:r>
          </w:p>
        </w:tc>
        <w:tc>
          <w:tcPr>
            <w:tcW w:type="dxa" w:w="79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p 值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中建四局集团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85.79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+1.64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31.5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50.0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0.266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中建海峡集团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85.92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86.15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−0.23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30.0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46.0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0.910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中建五局集团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86.77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85.59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+1.19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25.5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57.4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0.485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中建八局集团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87.40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86.29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+1.43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30.2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48.8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0.413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中建二局集团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87.28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84.52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+2.76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35.7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50.0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0.136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中建一局集团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87.44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87.68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−0.24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22.0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61.0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0.913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宝冶集团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86.51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85.88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+0.63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35.1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40.5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0.741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福建建工集团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84.68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84.76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−0.08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25.8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48.4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厦门上建建设集团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84.61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86.45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−1.89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23.3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53.3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0.492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上海建工集团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85.44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86.85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−1.47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23.3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56.7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0.587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中建科工集团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87.67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86.47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+1.21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27.6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58.6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0.603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福建省五建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82.87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83.19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−0.32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24.1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51.7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0.906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中铁二十二局集团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87.62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86.61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+1.01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25.0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42.9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0.678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北京建工集团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83.58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84.57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−0.97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25.0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37.5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0.762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5.3 分定标方法：优势几乎全部来自高分低价法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这是本报告最具操作价值的发现。按定标方法拆分后，三局的报价得分表现呈现截然相反的两幅图景：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高分随机法（n=552 个配对）：三局得分差 −0.56 分，三局更优 23.4%、持平 51.8%，p=0.2362，不显著且方向为负——在此方法下三局的报价得分不占优势。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高分低价法（n=373 个配对）：三局得分差 +3.00 分，三局更优 34.3%、持平 51.7%，p=0.0001，高度显著——在此方法下三局的报价得分明显领先同场对手约 3 分（相当于四分之一档）。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7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定标方法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配对 n</w:t>
            </w:r>
          </w:p>
        </w:tc>
        <w:tc>
          <w:tcPr>
            <w:tcW w:type="dxa" w:w="113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三局得分差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三局更优%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持平%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p 值</w:t>
            </w:r>
          </w:p>
        </w:tc>
        <w:tc>
          <w:tcPr>
            <w:tcW w:type="dxa" w:w="238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高分随机法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552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−0.56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23.4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51.8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0.2362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不显著，方向为负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高分低价法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373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+3.00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34.3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51.7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高度显著，三局领先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结合定标方法规则理解：高分随机法是"综合得分最高的 3 或 5 家中随机抽取"，报价得分高只提高进入候选池的概率，进池后与报价无关；高分低价法是"综合得分最高的 3 或 5 家中选报价最低者"，报价得分与报价水平直接相关。三局在高分低价法下的报价得分优势，说明其报价位置本身选得更准；而在高分随机法下这一优势消失，与三局该方法的入围率偏低（23.1%）互为印证。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5.4 分对手 × 分定标方法：优势在高分低价法中普遍存在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进一步拆分可见，三局在高分低价法下的优势并非来自个别对手，而是普遍现象：对中建四局 +5.77 分（p=0.0098，显著）、中建八局 +5.17 分（p=0.097，边际显著）、中建二局 +4.88 分（p=0.081，边际显著）、中建海峡 +4.46 分（p=0.054，边际显著）、中建五局 +3.64 分（p=0.068，边际显著）；而在高分随机法下，对中建海峡 −4.23 分（p=0.084，边际显著）、中建五局 −2.57 分、中建四局 −2.20 分，多为下风。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3175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高分随机法 同场 n / 得分差 / p</w:t>
            </w:r>
          </w:p>
        </w:tc>
        <w:tc>
          <w:tcPr>
            <w:tcW w:type="dxa" w:w="3175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高分低价法 同场 n / 得分差 / p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中建八局集团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28 / −1.51 / 0.434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 / +5.17 / 0.097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中建海峡集团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27 / −4.23 / 0.084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24 / +4.46 / 0.054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中建五局集团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 / −2.57 / 0.302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22 / +3.64 / 0.068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中建四局集团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 / −2.20 / 0.247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26 / +5.77 / 0.010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中建二局集团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 / +0.83 / 0.797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 / +4.88 / 0.081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中建一局集团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 / +0.45 / 1.000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 / −1.05 / 0.683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福建建工集团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 / −0.56 / 0.939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 / +0.58 / 0.878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中交一公局集团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 / +0.56 / 0.750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 / −1.43 / 1.000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中交二航局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 / +4.17 / 0.250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 / +3.33 / 1.000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5.5 满分档命中率配对：+5.31 个百分点，统计显著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为消除档距不统一的影响，改用满分档命中率重做配对（同场项目数 ≥ 10 的对手，合并 n=936）：三局满分档命中率平均高出同场对手 5.31 个百分点，p=0.0019，统计显著。这是本次分析中证据强度最高的一项，且与百分制得分的结论方向一致。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113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同场项目</w:t>
            </w:r>
          </w:p>
        </w:tc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三局满分档%</w:t>
            </w:r>
          </w:p>
        </w:tc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对手满分档%</w:t>
            </w:r>
          </w:p>
        </w:tc>
        <w:tc>
          <w:tcPr>
            <w:tcW w:type="dxa" w:w="204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差值 pp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中建八局集团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34.1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25.9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+8.1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中建二局集团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35.7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26.7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+8.9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中建四局集团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27.9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21.8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+6.1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中建五局集团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31.9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29.2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+2.8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中建一局集团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38.1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33.3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+4.8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中建海峡集团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28.1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23.2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+4.9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福建建工集团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34.4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29.7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+4.7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上海建工集团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29.2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31.2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−2.1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厦门上建建设集团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26.0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28.1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−2.1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合并全部对手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936 个配对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+5.31（p=0.0019）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5.6 稳健性检验：方向一致，幅度对口径敏感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为检验结论是否稳健，按档次制度、工程类别分别重做合并配对。结果显示方向均为正，但幅度与显著性随口径变化：12.5 分档距制下 +1.17 分（p=0.080，边际显著）、10 分档距制下 +0.54 分（p=0.189）；房屋建筑工程 +0.89 分（p=0.032，显著）、市政基础设施工程 +0.20 分（p=0.729）。综上，三局的报价得分优势方向稳定为正，但幅度约在 0.2—3.0 分之间，不应被解读为"报价能力显著强于对手"，更准确的判断是"报价不构成短板，且在特定方法下有实质优势"。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检验维度</w:t>
            </w:r>
          </w:p>
        </w:tc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三局项目数</w:t>
            </w:r>
          </w:p>
        </w:tc>
        <w:tc>
          <w:tcPr>
            <w:tcW w:type="dxa" w:w="113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配对 n</w:t>
            </w:r>
          </w:p>
        </w:tc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三局得分差</w:t>
            </w:r>
          </w:p>
        </w:tc>
        <w:tc>
          <w:tcPr>
            <w:tcW w:type="dxa" w:w="113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p 值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12.5 分档距制项目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406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+1.17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0.080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 分档距制项目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479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+0.54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0.189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房屋建筑工程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803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+0.89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0.032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市政基础设施工程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0.729</w:t>
            </w:r>
          </w:p>
        </w:tc>
      </w:tr>
    </w:tbl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六、报价得分与中标的关系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6.1 中标者的报价得分显著更高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以"是否被定标委员会推荐为中标人"分组：中标记录 147 条，报价得分均值 87.53 分、中位数 90.00 分；未中标记录 2,395 条，均值 83.63 分、中位数 87.50 分。两者相差 +3.90 分，置换检验 p=0.0028，统计显著。满分档占比差距更大：中标者 41.5%，未中标者 22.3%，相差 19.2 个百分点。这说明报价得分确实是中标的重要伴生特征，但——如后文所示——并非充分条件。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113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n</w:t>
            </w:r>
          </w:p>
        </w:tc>
        <w:tc>
          <w:tcPr>
            <w:tcW w:type="dxa" w:w="192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均值</w:t>
            </w:r>
          </w:p>
        </w:tc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中位数</w:t>
            </w:r>
          </w:p>
        </w:tc>
        <w:tc>
          <w:tcPr>
            <w:tcW w:type="dxa" w:w="158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满分档占比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中标记录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147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87.53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90.00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41.5%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未中标记录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2,395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83.63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87.50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22.3%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差值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+3.90（p=0.0028）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+2.50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+19.2pp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6.2 项目内排名：第 1 名的中标率是其余的 2 倍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在每一个项目内部按报价得分排名，第 1 名的记录共 1,172 条，中标率 7.94%；非第 1 名 1,370 条，中标率 3.94%，相差 4.00 个百分点（约 2 倍）。分排名看，前 5 名中标率在 5.80%—7.94% 之间，第 6 名及以后骤降至 2.74%——跌出前 5 名的代价远大于在前 5 名内部再提升名次的收益。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项目内报价得分排名</w:t>
            </w:r>
          </w:p>
        </w:tc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记录数</w:t>
            </w:r>
          </w:p>
        </w:tc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中标率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 1 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1,172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7.94%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 2 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6.76%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 3 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6.52%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 4 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5.80%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 5 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6.33%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 6 名及以后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913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2.74%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6.3 报价得分的边际价值：高分随机法中远大于高分低价法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这是理解两种定标方法差异的第二个关键证据。分方法比较"报价得分第 1 名"与"非第 1 名"的中标率：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高分随机法：第 1 名中标率 9.40%（n=553），非第 1 名 2.81%（n=675），差 +6.59 个百分点（约 3.3 倍）。在此方法下，报价得分第 1 名的价值极高。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高分低价法：第 1 名中标率 6.18%（n=534），非第 1 名 5.30%（n=642），差仅 +0.88 个百分点。在此方法下，报价得分第 1 名几乎没有额外价值——这符合规则逻辑：高分低价法是在"综合得分最高的 3 或 5 家"中比选报价最低者，一个报价得分高但综合得分未进前 3/5 家的投标人，其报价优势根本无法进入比选环节。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定标方法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第 1 名 n</w:t>
            </w:r>
          </w:p>
        </w:tc>
        <w:tc>
          <w:tcPr>
            <w:tcW w:type="dxa" w:w="147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第 1 名中标率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非第 1 名 n</w:t>
            </w:r>
          </w:p>
        </w:tc>
        <w:tc>
          <w:tcPr>
            <w:tcW w:type="dxa" w:w="147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非第 1 名中标率</w:t>
            </w:r>
          </w:p>
        </w:tc>
        <w:tc>
          <w:tcPr>
            <w:tcW w:type="dxa" w:w="113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差值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高分随机法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553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9.40%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675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2.81%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+6.59pp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高分低价法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534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6.18%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642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5.30%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+0.88pp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6.4 三局 vs 同场中标者：显著落后 3.42 分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把配对对象从"同场对手"换成"同场最终中标者"，结论发生反转：71 个配对中，三局均值 86.70 分，同场中标者 90.25 分，三局落后 3.42 分（p=0.0157，统计显著）。分方向看：三局更优 15.5%、持平 50.7%、落后 33.8%——领先面明显收窄，落后面扩大。至此形成完整证据链：三局的报价得分优于同场对手的平均水平，但劣于最终中标者的水平。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58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对比对象</w:t>
            </w:r>
          </w:p>
        </w:tc>
        <w:tc>
          <w:tcPr>
            <w:tcW w:type="dxa" w:w="79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配对 n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三局得分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对方得分</w:t>
            </w:r>
          </w:p>
        </w:tc>
        <w:tc>
          <w:tcPr>
            <w:tcW w:type="dxa" w:w="79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得分差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三局更优</w:t>
            </w:r>
          </w:p>
        </w:tc>
        <w:tc>
          <w:tcPr>
            <w:tcW w:type="dxa" w:w="79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持平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三局落后</w:t>
            </w:r>
          </w:p>
        </w:tc>
        <w:tc>
          <w:tcPr>
            <w:tcW w:type="dxa" w:w="79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p 值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同场对手（全部）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1,099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+0.97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27.2%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52.6%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20.2%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0.0033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同场中标者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86.70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90.25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−3.42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15.5%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50.7%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33.8%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0.0157</w:t>
            </w:r>
          </w:p>
        </w:tc>
      </w:tr>
    </w:tbl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七、关键矛盾：报价得分优势为何未能兑现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7.1 34 次报价得分第 1 名，0 次中标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三局在 34 条记录中取得项目内报价得分第 1 名（占其有效记录 43.6%，与全体基准 44.7% 基本持平），但这 34 条记录最终中标 0 条，中标率 0.0%。作为对照：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报价得分第 1 名次数</w:t>
            </w:r>
          </w:p>
        </w:tc>
        <w:tc>
          <w:tcPr>
            <w:tcW w:type="dxa" w:w="113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其中中标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中标率</w:t>
            </w:r>
          </w:p>
        </w:tc>
        <w:tc>
          <w:tcPr>
            <w:tcW w:type="dxa" w:w="204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综合得分进前 3 名比例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中建三局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32.4%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全体基准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1,172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93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7.94%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28.2%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中建八局集团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29.0%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48.4%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需要说明：34 条样本量较小，其中综合得分进入前 3 名的为 11 条。若按高分随机法"3 家中随机抽 1"的规则粗略估算，期望中标数约 3—4 个，实际为 0，属于偏低的极端结果。单凭此样本不足以断言"必然无法兑现"，但结合三局整体中标率 5.3%（4/73）与八局 17.2% 的差距，可以确认：报价得分优势在向中标转化时出现了实质性阻塞。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7.2 阻塞点在综合得分：报价第 1 名时综合得分仍只排第 5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对三局报价得分第 1 名的 34 条记录，进一步查看其定标综合得分在同一项目内的排名：排名中位数为第 5.0 名，而同场候选人数中位数为 19.5 家；进前 3 名 11 条（32.4%）、进前 5 名 18 条（52.9%）。也就是说，即便报价做到全场最好，三局的综合得分仍普遍落在这 19—20 家候选人的第 5 名上下——刚好卡在"进前 3 家"这道闸门外。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9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47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中建三局</w:t>
            </w:r>
          </w:p>
        </w:tc>
        <w:tc>
          <w:tcPr>
            <w:tcW w:type="dxa" w:w="147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全体基准</w:t>
            </w:r>
          </w:p>
        </w:tc>
        <w:tc>
          <w:tcPr>
            <w:tcW w:type="dxa" w:w="249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综合得分进前 3 名占比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37.9%（n=58）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22.0%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三局高于基准，但绝对水平仍不足以稳定入围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综合得分进前 5 名占比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58.6%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30.9%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同上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报价得分第 1 名时的综合得分排名中位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 5.0 名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同场候选人数中位 19.5 家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定标综合得分均值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93.39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中标者均值 96.21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缺口 2.82 分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与主要对手横向对比可以更清楚地看到这道闸门：中建八局综合得分进前 3 名占比 48.9%、进前 5 名 70.2%，中标率 19.1%；中建海峡 45.5% / 65.2%，中标率 16.7%；而三局为 37.9% / 58.6%，中标率仅 5.2%。八局的报价得分（86.80 分）与三局（85.92 分）几乎相同、满分档命中率（31.2% vs 30.3%）也几乎相同，中标率却相差 3.3 倍——差距不在报价，而在综合得分能否进前三。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有效 n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报价得分均值</w:t>
            </w:r>
          </w:p>
        </w:tc>
        <w:tc>
          <w:tcPr>
            <w:tcW w:type="dxa" w:w="113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满分档占比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综合得分进前 3</w:t>
            </w:r>
          </w:p>
        </w:tc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综合得分进前 5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中标率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中建八局集团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86.80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31.2%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48.9%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70.2%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17.2%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中建三局集团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76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85.92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30.3%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37.9%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58.6%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5.3%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中建海峡集团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83.98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21.0%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45.5%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65.2%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13.6%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中建一局集团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84.84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30.6%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33.3%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45.8%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9.7%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中建五局集团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74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84.16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28.4%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32.1%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44.6%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6.8%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中建四局集团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84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84.38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19.0%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6.0%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福建建工集团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81.73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21.2%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3.8%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中交一公局集团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86.92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28.8%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32.4%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41.2%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13.5%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7.3 量级对比：报价环节贡献远小于综合得分缺口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把报价得分优势折算成综合总分，可以更直观地看到量级差距。按政策规定，报价要素权重为 20%—30%。三局相对同场对手的报价得分优势 +0.97 分，按 25% 权重折算仅相当于总分 +0.24 分；即便按 30% 上限折算也仅 +0.29 分。而三局定标综合得分 93.39 分，与中标者均值 96.21 分相差 2.82 分。换言之，把报价做到极致所获得的总分收益，不足综合得分缺口的十分之一。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92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38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折算为总分（权重 25%）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三局相对同场对手报价得分优势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+0.97 分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+0.24 分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三局相对同场中标者报价得分差距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−3.42 分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−0.86 分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三局综合得分距中标者均值缺口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2.82 分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2.82 分（已是总分口径）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一档报价得分（12.5 分制）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12.50 分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3.13 分</w:t>
            </w:r>
          </w:p>
        </w:tc>
      </w:tr>
    </w:tbl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八、结论与建议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8.1 主要结论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（1）报价不是短板，但也不是突破口。三局报价得分 85.92 分，高于全体 83.86 分；满分档命中率 30.3% 高于全体 23.4%（配对 +5.31pp，p=0.0019）；同场配对得分差 +0.97 分（p=0.0033）。报价环节整体处于市场中上水平。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（2）报价优势高度依赖定标方法。高分低价法下三局领先 +3.00 分（p=0.0001），高分随机法下 −0.56 分（p=0.2362，不显著）。这是本次分析中最具操作价值的结论：三局的报价能力只在特定方法中能够形成有效优势。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（3）三局报价得分显著低于最终中标者（−3.42 分，p=0.0157）。中标者满分档占比 41.5%，是三局（30.3%）的 1.37 倍。报价的"及格线"已经达到，但"中标线"尚未达到。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（4）转化阻塞发生在综合得分环节。三局报价得分第 1 名 34 次、中标 0 次；报价第 1 名时综合得分排名中位仍为第 5.0 名（同场约 19.5 家），卡在"进前 3 家"闸门外。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（5）量级上，报价改进的空间有限。报价优势按 25% 权重折算仅 +0.24 总分，而综合得分缺口 2.82 分。资源投向应优先综合得分相关要素（信用、实力、答辩），而非继续深挖报价。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8.2 报价策略建议：按定标方法差异化配置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定标方法</w:t>
            </w:r>
          </w:p>
        </w:tc>
        <w:tc>
          <w:tcPr>
            <w:tcW w:type="dxa" w:w="294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三局现状</w:t>
            </w:r>
          </w:p>
        </w:tc>
        <w:tc>
          <w:tcPr>
            <w:tcW w:type="dxa" w:w="4535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高分低价法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报价得分领先 +3.00 分（p=0.0001），是优势场景；报价第 1 名中标率溢价仅 +0.88pp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继续维持并放大报价优势，但须同步确保综合得分进前 3/5 家——否则报价优势无法进入比选环节。建议将此类型项目列为重点争夺对象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高分随机法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报价得分 −0.56 分（不显著）；报价第 1 名中标率溢价高达 +6.59pp，但三局 19 次第 1 名 0 中标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报价端做到第 1 名仍有必要（溢价最高），但单靠报价无效。重点应放在把综合得分推进前 3 名：报价保前 5 名即可，资源转投信用与实力要素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通用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满分档命中率 30.3%，低于中标者 41.5%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以提升满分档命中率为报价端核心 KPI，目标从 30% 提升至 40% 区间；具体做法为按项目实际 K 区间上下限折算目标下浮率，而非套用固定下浮率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8.3 配套建议：把报价优势转化为中标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（1）优先级重置：将综合得分修复置于报价优化之前。三局综合得分进前 3 名占比 37.9%，八局 48.9%、海峡 45.5%。每提升 1 个百分点的进前 3 名概率，其价值远高于报价再提升 1 分。重点方向为信用评级（确保全部 A 级、争取 AA 级）、业绩材料质量（同类认定与奖项级别对应）、答辩专项化（高分随机法占三局投标项目 53%）。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（2）报价端保留"前 5 名"底线。数据显示第 6 名及以后中标率骤降至 2.74%，而前 5 名内部（5.80%—7.94%）差异有限。因此报价策略应以确保进入前 5 名为底线目标，不必为争夺第 1 名而过度压价。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（3）建立分方法的报价纪律与复盘机制。项目投标前先判定定标方法，高分低价法项目按现有报价能力主动争抢，高分随机法项目则以综合得分为主要抓手、报价保前 5 名。按月复盘报价得分排名与中标转化，重点监测"报价得分第 1 名但未进综合得分前 3 名"的项目数量变化。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（4）关注 2026 年已出现的积极变化。三局 2026 年报价得分 89.42 分，高于全体 4.80 分，较 2025 年（+0.65 分）大幅改善。建议核实该年度具体采取了哪些报价改进措施，若可复制则固化为标准动作。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8.4 后续工作建议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6236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核实 77 条"数据不全"记录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源表中有 77 条标注"数据不全，无法计算，需人工核查"，建议人工补齐以扩大样本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扩大三局样本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三局有效得分记录仅 76 条，是本次分析最主要的精度限制；建议纳入更多批次项目持续跟踪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交叉验证定标方法差异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高分低价法 +3.00 分与高分随机法 −0.56 分的差异需在新增样本上验证是否稳定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补充报价-综合得分协同分析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本报告聚焦报价得分；建议下一步建立"报价得分排名 × 综合得分排名"联合分布，量化入围概率</w:t>
            </w:r>
          </w:p>
        </w:tc>
      </w:tr>
    </w:tbl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附录：口径说明与成果清单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附录1  本报告口径速查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口径项</w:t>
            </w:r>
          </w:p>
        </w:tc>
        <w:tc>
          <w:tcPr>
            <w:tcW w:type="dxa" w:w="703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报价得分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取自源表「报价分所在档次」字段，为招标文件实际评定结果，非推算值；满分 100 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满分档命中率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取得"第1档/100分"的记录占比，即报价下浮率落在抽取 K 值 ±0.5% 区间内；跨项目完全可比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同场配对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同一招标项目内，三局与某对手均有投标记录时构成 1 个配对；同品牌多条记录先取均值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配对得分差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三局得分 − 对手得分，正值表示三局更优；按所有配对汇总后取均值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置换检验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对配对差值随机翻转符号 10,000 次，计算观察到的均值差出现的概率；不依赖分布假设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档距不统一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样本并存 12.5 分档距（1,281 条）与 10 分档距（1,103 条），故"相差一档"含义因项目而异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中标判定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以源表"定标委员会推荐的中标人"字段为准；该字段非空样本为 2,619 条 / 144 个项目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样本限制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三局有效得分记录 76 条 / 73 个项目，是分对手分析精度的主要限制因素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附录2  成果与数据源清单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62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文件名 / 名称</w:t>
            </w:r>
          </w:p>
        </w:tc>
        <w:tc>
          <w:tcPr>
            <w:tcW w:type="dxa" w:w="3969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本报告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2026年9月6日_中建三局与主要竞争对手同场竞技报价得分专题报告.docx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八个部分 + 2 个附录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数据源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2026年9月2日 李念交易中心项目定标候选人信息分析表_合规校验.xlsx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768 个项目 / 14,519 条记录（2021-03-02 至 2026-08-27）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政策依据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厦门市住房和建设局关于印发建设工程招投标评定分离办法的通知（厦住建规〔2024〕6号）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2024-12-10 施行；附件1 定标要素及权重、附件2 定标方法、附件4 入围规则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关联成果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2026年9月5日_中建三局竞争对手分析与报价策略报告_指标释义修订版.docx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十部分完整版，含指标释义、显著性检验与复核清单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关联成果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2026年9月5日_中建三局竞争对手分析与报价策略_支撑统计附表.xlsx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 个 sheet，明细数据可下钻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