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宋体" w:hAnsi="宋体" w:eastAsia="宋体"/>
          <w:b/>
          <w:color w:val="1F3864"/>
          <w:sz w:val="48"/>
        </w:rPr>
        <w:t>中建三局竞争对手分析与报价策略报告（精简版）</w:t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28"/>
        </w:rPr>
        <w:t>——核心结论、关键成果与后续建议</w:t>
      </w:r>
    </w:p>
    <w:p>
      <w:pPr>
        <w:spacing w:before="720"/>
        <w:jc w:val="center"/>
      </w:pPr>
      <w:r>
        <w:rPr>
          <w:rFonts w:ascii="宋体" w:hAnsi="宋体" w:eastAsia="宋体"/>
          <w:b w:val="0"/>
          <w:color w:val="595959"/>
          <w:sz w:val="24"/>
        </w:rPr>
        <w:t>编制单位：中建三局福建投资公司市场营销部</w:t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24"/>
        </w:rPr>
        <w:t>报告日期：2026年9月6日</w:t>
      </w:r>
    </w:p>
    <w:p>
      <w:pPr>
        <w:spacing w:before="1000"/>
        <w:jc w:val="center"/>
      </w:pPr>
      <w:r>
        <w:rPr>
          <w:rFonts w:ascii="宋体" w:hAnsi="宋体" w:eastAsia="宋体"/>
          <w:b w:val="0"/>
          <w:color w:val="808080"/>
          <w:sz w:val="21"/>
        </w:rPr>
        <w:t>母本：2026年9月5日_中建三局竞争对手分析与报价策略报告_指标释义修订版.docx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21"/>
        </w:rPr>
        <w:t>数据基础：14,519 条投标记录 / 768 个项目（2021-03 至 2026-08），其中新办法期 K 样本 2,619 条 / 144 个项目</w:t>
      </w:r>
    </w:p>
    <w:p>
      <w:r>
        <w:br w:type="page"/>
      </w:r>
    </w:p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一、核心结论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报价不是中建三局的主要短板——与中建八局同场 44 个项目，报价位置几乎一致（百分位 74.15 vs 74.84），中标率却差 7 倍（2.27% vs 15.91%）。真正的瓶颈是【综合得分 / 入围率】：三局定标综合得分 93.39，在 42 家主要品牌中排第 30 位，低于中标者均值 96.21 达 2.82 分。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3175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核心结论</w:t>
            </w:r>
          </w:p>
        </w:tc>
        <w:tc>
          <w:tcPr>
            <w:tcW w:type="dxa" w:w="5102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关键数据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中标率显著偏低，且属"高机会、低转化"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新办法期中标率 5.48%（74 家中第 36 位）；投标项目数 73 个居前 3（仅次于四局 82、海峡 78）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失血点高度集中在高分随机法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高分随机法 0/39（0.0%）vs 高分低价法 4/32（12.5%）；同方法主要对手为 6.4% / 5.3%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根因是综合得分而非报价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三局综合得分 93.39（第 30/42），八局 95.42（第 6）；中标者均值 96.21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入围率是第一道闸门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高分随机法入围率 23.1%（39 投 9 入围），低于八局 31.6%、海峡 44.4%、一局 30.3%；入围后转化 0/9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两种定标方法的报价规律完全相反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高分随机法 25-50 档中标率 9.4% 最高（&gt;100 档仅 3.3%）；高分低价法 75-100 档 9.4% 最高（&lt;0 档仅 1.1%）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同场报价差异全部不显著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 10 家主要对手的 K 百分位配对检验 p 值 0.143—1.000，期望得分 p 值 0.094—0.902，均未达显著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信用呈"选择性压制"格局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对二局 +8.56、八局 +5.94、五局 +4.52（更优比例 96%/100%/85%）；对一局 −3.23、福建建工 −3.10（更优比例 0%/4.9%）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市场报价持续上移，三局已与市场同步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相对限价下浮率中位 2023 年 12.45% → 2026 年 8.49%；三局由 2021 年低于市场 3.18 个百分点收敛至 2025 年持平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头部对手普遍不靠低价取胜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八局 18.03%（61 投 11 中）、一公局 17.5%（40/7）、海峡 14.1%（78/11）；一公局 2025 年下浮率仅 6.16% 仍实现 17.5% 中标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对手借联合体"借牌扩量"，但条款已封顶其评分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二局 85→157 条（1.8 倍）、五局 146→207 条（1.4 倍），主体形式为"母公司+在厦子公司"联合（70 条 / 118 条）；三局该形式为 0 条</w:t>
            </w:r>
          </w:p>
        </w:tc>
      </w:tr>
    </w:tbl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二、关键成果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2.1 竞争格局：头部对手排名（新办法期，投标项目数 ≥ 10）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60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投标人</w:t>
            </w:r>
          </w:p>
        </w:tc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投标项目数</w:t>
            </w:r>
          </w:p>
        </w:tc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中标项目数</w:t>
            </w:r>
          </w:p>
        </w:tc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计数中标率</w:t>
            </w:r>
          </w:p>
        </w:tc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金额中标率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中交上航局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25.00%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45.34%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中建八局集团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18.03%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7.88%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中交一公局集团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17.50%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16.65%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中建海峡集团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14.10%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20.78%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中交二航局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13.79%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17.21%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北京城建集团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13.33%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20.16%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厦门市建安集团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13.33%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29.51%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中铁十七局集团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12.50%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26.13%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福建荣建集团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11.76%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5.82%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中交一航局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11.11%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28.92%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中建三局：中标率 5.48%，排名第 36/74。榜首中交上航局 25.0% 仅 12 个项目，样本有限；真正稳定的头部对手为八局、一公局、海峡三家。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2.2 我方失血点：转化漏斗与综合得分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定标方法</w:t>
            </w:r>
          </w:p>
        </w:tc>
        <w:tc>
          <w:tcPr>
            <w:tcW w:type="dxa" w:w="102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投标项目</w:t>
            </w:r>
          </w:p>
        </w:tc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入围率</w:t>
            </w:r>
          </w:p>
        </w:tc>
        <w:tc>
          <w:tcPr>
            <w:tcW w:type="dxa" w:w="136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入围后转化率</w:t>
            </w:r>
          </w:p>
        </w:tc>
        <w:tc>
          <w:tcPr>
            <w:tcW w:type="dxa" w:w="147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中标数 / 中标率</w:t>
            </w:r>
          </w:p>
        </w:tc>
        <w:tc>
          <w:tcPr>
            <w:tcW w:type="dxa" w:w="249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同方法主要对手入围率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高分随机法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23.1%（9 入围）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0/9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 / 0.0%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八局 31.6%、海峡 44.4%、一局 30.3%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高分低价法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31.2%（10 入围）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40%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/ 12.5%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同方法对手中标率 5.3%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高分随机法下"入围率过低 + 入围后 0 转化"双重失守，是中标数归零的直接原因；高分低价法下入围率 31.2% 属中上、转化率 40% 正常，是三局当前唯一"赢得到"的方法。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0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49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投标人</w:t>
            </w:r>
          </w:p>
        </w:tc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综合得分均值</w:t>
            </w:r>
          </w:p>
        </w:tc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信用得分均值</w:t>
            </w:r>
          </w:p>
        </w:tc>
        <w:tc>
          <w:tcPr>
            <w:tcW w:type="dxa" w:w="192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子集内中标率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中建八局集团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95.42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91.28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19.15%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中建海峡集团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94.18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95.23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16.67%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中建一局集团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94.09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99.04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12.50%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中建五局集团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93.58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90.83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8.93%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中交一公局集团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93.47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93.52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17.65%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中建三局集团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93.39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94.41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5.17%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中建四局集团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93.37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96.75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4.76%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中建二局集团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92.76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85.58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9.30%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综合得分每 1 分对应中标率的显著变化：三局 93.39 排第 30 位，与八局（95.42）差 2.03 分，与中标者均值（96.21）差 2.82 分——这是入围率与中标率的根本制约。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2.3 报价规律与可执行报价区间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92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建议百分位区间</w:t>
            </w:r>
          </w:p>
        </w:tc>
        <w:tc>
          <w:tcPr>
            <w:tcW w:type="dxa" w:w="204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建议下浮率（相对限价）</w:t>
            </w:r>
          </w:p>
        </w:tc>
        <w:tc>
          <w:tcPr>
            <w:tcW w:type="dxa" w:w="362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决策依据（实测中标率）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高分随机法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30% ~ 65%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6.5% ~ 8.0%（按项目 K 区间折算）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25-50 档 9.36%（各档最高）、50-75 档 8.47%；&lt;0 档 2.10%、75-100 档 4.93%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高分低价法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75% ~ 150%（最优 75-100）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10.5% ~ 13.5%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75-100 档 9.43%（最高）、100-150 档 7.03%、150-200 档 6.63%；下沿 40-55 仅 4.2%~6.0%，"压至下沿"实为次优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市政基础设施工程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75% ~ 90%（可适度少下浮）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按项目 K 区间折算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三局市政百分位中位 74.7 vs 全体 88.5，存在约 14 个百分位的少下浮空间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房屋建筑工程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70% ~ 85%（维持）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按项目 K 区间折算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三局房建百分位中位 76.5 vs 全体 80.0，已接近市场中位，继续压价无边际收益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限价下降幅度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不据此调整报价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复核：限价降幅与 K 抽取位置无显著关系（ρ=−0.090、p=0.281；组间置换 p=0.94），不构成调整依据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不存在"一刀切"的最优报价位置：统一取 55-60 在两种方法中均非最优。必须先判断定标方法，再按该项目实际 K 区间上下限折算目标下浮率。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2.4 同场竞技三要素 PK（中建三局 vs 主要对手）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47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同场对数（信用/综合）</w:t>
            </w:r>
          </w:p>
        </w:tc>
        <w:tc>
          <w:tcPr>
            <w:tcW w:type="dxa" w:w="204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信用：三局更优比例 / 差值</w:t>
            </w:r>
          </w:p>
        </w:tc>
        <w:tc>
          <w:tcPr>
            <w:tcW w:type="dxa" w:w="204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综合得分：三局更优比例 / 差值</w:t>
            </w:r>
          </w:p>
        </w:tc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报价配对检验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中建八局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58 / 38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100.0% / +5.94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18.4% / −1.38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p=0.880，不显著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中建海峡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68 / 47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69.1% / −0.29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29.8% / −3.13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p=0.888，不显著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中建五局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60 / 41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85.0% / +4.52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48.8% / −0.36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p=0.243，不显著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中建一局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 / 32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0.0% / −3.23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40.6% / −0.35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p=0.755，不显著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福建建工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 / 24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4.9% / −3.10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20.8% / −4.43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p=0.597，不显著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中建二局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 / 28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96.0% / +8.56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53.6% / −0.05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p=0.542，不显著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中交一公局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 / 5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50.0% / −0.16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40.0% / +0.93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p=1.000，不显著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三要素画像：报价不落下风（全部不显著）；信用对中建系多数局占优、对一局与福建建工被全面压制；综合得分对八局、海峡、福建建工失分。合并 10 家对手的 398 个项目对，三局中标 24 场 vs 对手 41 场（p=0.046），差距集中在综合得分环节而非报价。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2.5 市场趋势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市场整体报价持续上移（下浮收窄）：相对限价下浮率中位 2023 年 12.45% → 2024 年 11.27% → 2025 年 9.47% → 2026 年 8.49%，三年收窄 3.96 个百分点。三局由 2021 年低于市场 3.18 个百分点（7.74% vs 10.92%）逐步收敛，2025 年（9.45%）已与市场持平——报价策略本身已不再是主要问题。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2.6 招标端可用杠杆（招标人视角）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对手优势类型</w:t>
            </w:r>
          </w:p>
        </w:tc>
        <w:tc>
          <w:tcPr>
            <w:tcW w:type="dxa" w:w="249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报价端杠杆</w:t>
            </w:r>
          </w:p>
        </w:tc>
        <w:tc>
          <w:tcPr>
            <w:tcW w:type="dxa" w:w="204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信用端杠杆</w:t>
            </w:r>
          </w:p>
        </w:tc>
        <w:tc>
          <w:tcPr>
            <w:tcW w:type="dxa" w:w="204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实力端杠杆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报价激进型（中交系、超限压价型）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K 区间与其报价习惯错位 + 限价降幅联动；入围报价排序前置淘汰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信用权重取 30% 上限稀释报价权重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综合得分强（八局式全面型）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选高分低价法，使其中庸报价在 3/5 家内失价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其信用偏弱（同场 89.61），顺带取信用上限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业绩特征指标贴线 + 答辩场景化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信用强（一局、福建建工）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——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信用权重取 20% 下限 + 评价体系组合选择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调高业绩、答辩等本地化子要素权重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联合体扩量（二局、五局式）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——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联合体信用/实力按较高一方认定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业绩特征指标精确锚定，压缩拼凑型联合体认定空间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杠杆效果的前提是先核对该项目实际投标人构成与历史同场数据；所有设置须在定标方案中说明理由并保持前后一致，严守"不得量身定做""不得规定最低限价""K 范围定标前保密""双随机标后评估"等合规红线。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2.7 复核结论（三项修正，直接影响上述判断）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（1）三局相对全场报价位置：本报告口径 K 百分位中位 75.9 vs 全体 81.9（源表口径 75.5 / 82.0）——三局相对全场略保守，此前"三局更激进"的判断已修正；同场配对中仅对部分对手略激进，且全部未达显著。（2）"限价下降幅度越大、抽取 K 值越偏区间下限"不成立：Spearman ρ = −0.090（p = 0.281）、组间置换检验 p = 0.94，序列亦非单调；据此产生的"报价下移 10—15 个百分位"建议已删除。（3）K 值落在抽取区间比例为 99.47%（2,605 / 2,619），14 条偏差源于 2 个多标段项目的字段量级错配，剔除后为 100.00%，与政策规定一致，不影响政策合规性判断。</w:t>
      </w:r>
    </w:p>
    <w:p>
      <w:r>
        <w:br w:type="page"/>
      </w:r>
    </w:p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三、存在问题与风险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3.1 主要问题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（1）综合得分是根本制约。三局 93.39 分排第 30/42 位，直接压低入围率（高分随机法仅 23.1%），入围基数过小又使"入围后转化"失去统计意义（0/9）。这是一条"综合得分 → 入围率 → 中标率"的传导链条，单纯优化报价无法打断。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（2）信用格局呈"选择性压制"。三局 A 级及以上占比 96.1%，但 AA 级为 0、无高分对冲，另有 3 条非 A 级记录（2 个 B + 1 个 BB+，占 58 个项目样本的 5.2%）；在信用权重 20%—30% 的设定下，0.5—1 分的扣减即可显著改变排名。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（3）实力要素材料质量存疑。三局类似工程业绩数均值 0.84，与中建系其他各局（0.7—0.9）基本一致，数量并非短板，差距更可能来自业绩认定标准、奖项级别对应分值等填报质量环节（待逐项目核实）。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3.2 风险提示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742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表现与后果</w:t>
            </w:r>
          </w:p>
        </w:tc>
        <w:tc>
          <w:tcPr>
            <w:tcW w:type="dxa" w:w="3175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应对要点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高分低价法无限压价（内卷）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头部（八局、二航局、一公局）已普遍激进至百分位 140+；三局成本优势不及中交系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保持 90—130 稳定输出，不跟进 140+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信用评级季度波动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厦门市建筑施工企业信用综合评价每季度发布；不利评级周期投报将放大失分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建立"季度评级—投标日历"联动，错峰投报信用权重上限项目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源数据质量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 个项目 154 条记录存在元/万元单位混用；64 个项目 274 条已剔除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对接交易中心加强数据校验，避免异常数据误导决策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口径边界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中标率分母仅为 144 个有结果项目（源表"推荐中标人"非空 2,619 条）；混入 624 个无结果项目将使中标率系统性偏低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横向排名一律采用 144 个项目口径，不使用全量记录口径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合规风险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定标方案设置为特定对象量身定做、规定最低限价等均属禁止情形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所有设置留痕说明理由，接受双随机标后评估</w:t>
            </w:r>
          </w:p>
        </w:tc>
      </w:tr>
    </w:tbl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四、后续建议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4.1 报价纪律：按定标方法应对，不按对手应对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高分随机法维持百分位 30—65（对应下浮率约 6.5%—8.0%）；高分低价法激进至 75—150、最优 75—100（对应下浮率约 10.5%—13.5%）；市政可适度少下浮（75—90），房建维持 70—85 不再激进；限价下降幅度经复核不作为报价调整依据。具体项目执行步骤：先判断定标方法 → 按该项目实际 K 区间上下限折算目标下浮率 → 用分档中标率表校验所处档位。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4.2 分对手应对要点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3402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关键判断</w:t>
            </w:r>
          </w:p>
        </w:tc>
        <w:tc>
          <w:tcPr>
            <w:tcW w:type="dxa" w:w="4082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主攻动作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中建八局（18.0%）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报价位置与我方几乎一致（74.15 vs 74.84），差距在综合得分转化（同场中标 7 vs 1）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信用端维持即可（同场 100% 更优）；主攻高分随机法 39 投 0 中的入围后失分点，答辩演练场景化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中建二局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激进未转化为中标（同场中标 2 vs 我方 4），靠联合体扩量（85→157 条）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不跟价，按方法纪律报价；监控其联合体渠道的项目覆盖，避免信息差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中建五局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联合体扩量最猛（146→207 条），信用与综合得分均略逊我方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维持信用优势（85% 更优）；常规补强实力材料；监控联合体动向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中建一局（信用最强）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同场信用均值 98.88，我方更优比例 0%；同场中标 5 vs 2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避实击虚：信用权重 30% 的项目审慎投入；与信用互补伙伴组建联合体（按较高一方认定）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福建建工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综合得分差距最大（−4.43），本地信用强（97.73）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用好信用季度更新节奏，在评级有利季度集中投报本地重点项目；全要素补强而非单点突破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中交一公局（17.5%）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AA 级 + 低价组合，同场中标 3 vs 我方 0；2025 年下浮率仅 6.16%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选择性参战：成本无法支撑头部百分位 140—160 时放弃，避免逐项目陪跑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中建海峡（14.1%）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报价与信用均与我方持平，差距集中在综合得分（−3.13）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按综合得分修复路径（信用修复 + 业绩材料 + 答辩）正面追赶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4.3 综合得分修复路径（最高优先级）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（1）信用修复：确保全部项目获 A 级，对现有 3 条非 A 级记录（2 个 B + 1 个 BB+）建立销项台账，并争取 AA 级以形成高分对冲。（2）业绩材料质量：业绩数量已不是短板，重点核查同类项目认定标准与奖项级别对应分值，关注鲁班奖、国家优质工程奖等国家级奖项累计（政策封顶：企业近五年 2 个、个人 1 个）。（3）答辩专项化：高分随机法占三局新办法期投标的 53%（39/73）且 0 中标，在"综合得分最高 3/5 家"的门槛竞争中，0.5—2 分即可决定入围与随机中签资格；建议按项目类型建立"重难点把握—应急保障"答辩题库并轮训拟派项目经理。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4.4 招标端设置要点（我方为招标人时）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（1）报价端：K 抽取范围与对手报价习惯错位——满分区间恒宽 1 个百分点，固定报价踩中满分区间的概率 = 1/W（幅度 2% 时 50%、4% 时 25%），每错位一档损失 12.5 分；幅度取 2% 可降低运气成分，取 4% 可放大对手踩空风险。（2）信用端：对信用偏低的对手取权重 30% 上限，对信用强企取 20% 下限并运用评价体系组合权。（3）实力端：业绩特征指标"贴线"锚定（不超过项目规模）、奖项权重收缩、资质提级、答辩场景化。（4）联合体：利用"在厦子公司与母公司联合投标按较高一方认定"条款，使对手借联合体扩量只能增加在场次数、不能提高单项目分数。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4.5 组织动作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1）建立"季度信用评级—投标日历"联动机制，避免在不利评级周期投报信用权重上限项目。（2）联合体策略由被动变主动：对信用被压制场景与本地高信用企业组队，对高分低价法项目与成本互补企业组队。（3）建立投标项目台账与中标率月度复盘，按定标方法分别统计入围率与转化率，优先突破高分低价法项目（保持 12.5% 中标率并向 15%+ 推进），同步推进综合得分修复。</w:t>
      </w:r>
    </w:p>
    <w:p>
      <w:pPr>
        <w:spacing w:before="280" w:after="160"/>
      </w:pPr>
      <w:r>
        <w:rPr>
          <w:rFonts w:ascii="宋体" w:hAnsi="宋体" w:eastAsia="宋体"/>
          <w:b/>
          <w:color w:val="1F3864"/>
          <w:sz w:val="32"/>
        </w:rPr>
        <w:t>附录：口径与成果说明</w:t>
      </w:r>
    </w:p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附录1  关键口径（一句话版）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口径项</w:t>
            </w:r>
          </w:p>
        </w:tc>
        <w:tc>
          <w:tcPr>
            <w:tcW w:type="dxa" w:w="7030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K 值百分位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报价下浮率在 K 抽取区间中的相对位置：0 = 区间下限、100 = 上限、&gt;100 为超上限（报价比上限更激进）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期望报价得分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 K 区间内每个可能的 K 都试算一遍后取平均，衡量"报价位置选得对不对"，剔除抽签运气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中标率分母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仅 144 个有结果项目（源表"定标委员会推荐的中标人"非空 2,619 条），不混入 624 个无结果项目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下浮率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政策口径：扣减不可竞争费（暂列金额 + 专业工程暂估价）后计算；分相对限价、相对预算两套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联合体口径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本报告为"各方各计 1 票"多标签口径；单列口径（每条记录计 1 个单位）用于对照，两者不可混用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2E75B6"/>
          <w:sz w:val="26"/>
        </w:rPr>
        <w:t>附录2  成果与数据源清单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628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3969"/>
            <w:shd w:fill="2E75B6"/>
            <w:vAlign w:val="center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本报告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2026年9月6日_中建三局竞争对手分析与报价策略报告_精简版.docx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精简版：核心结论—关键成果—问题与风险—后续建议；完整推导见母本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母本报告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2026年9月5日_中建三局竞争对手分析与报价策略报告_指标释义修订版.docx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十部分正文 + 5 个附录，含完整指标释义、显著性检验与复核清单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支撑附表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2026年9月5日_中建三局竞争对手分析与报价策略_支撑统计附表.xlsx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 个 sheet，明细数据可下钻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数据源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2026年9月2日 李念交易中心项目定标候选人信息分析表_合规校验.xlsx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768 个项目 / 14,519 条记录（2021-03-02 至 2026-08-27）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政策依据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厦门市住房和建设局关于印发建设工程招投标评定分离办法的通知（厦住建规〔2024〕6号）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2024-12-10 施行；含附件1 定标要素及权重、附件2 定标方法、附件4 入围规则、附件5 特征指标标准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