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4E79"/>
          <w:sz w:val="36"/>
        </w:rPr>
        <w:t>第四章逐节精讲</w:t>
      </w:r>
    </w:p>
    <w:p>
      <w:pPr>
        <w:spacing w:after="280"/>
        <w:jc w:val="center"/>
      </w:pPr>
      <w:r>
        <w:rPr>
          <w:rFonts w:ascii="Times New Roman" w:hAnsi="Times New Roman" w:eastAsia="宋体"/>
          <w:b w:val="0"/>
          <w:color w:val="5A5A5A"/>
          <w:sz w:val="26"/>
        </w:rPr>
        <w:t>《基于规则的策略提取与解释深度强化学习模型》</w:t>
      </w:r>
    </w:p>
    <w:p>
      <w:pPr>
        <w:spacing w:before="0" w:after="120" w:lineRule="auto" w:line="348"/>
        <w:ind w:firstLine="420"/>
      </w:pPr>
      <w:r>
        <w:rPr>
          <w:rFonts w:ascii="Times New Roman" w:hAnsi="Times New Roman" w:eastAsia="宋体"/>
          <w:b w:val="0"/>
          <w:sz w:val="24"/>
        </w:rPr>
        <w:t>这一版不是简单摘要，而是把第四章按 4.1 到 4.5 的顺序拆开讲。每一节我都会告诉你：作者这一节想解决什么、用了什么方法、为什么这样设计、以及你作为软件工程本科生真正该抓住的知识点。你可以把它当成老师上课时发的精讲讲义。</w:t>
      </w:r>
    </w:p>
    <w:p>
      <w:pPr>
        <w:pStyle w:val="Heading1"/>
      </w:pPr>
      <w:r>
        <w:rPr>
          <w:rFonts w:ascii="Times New Roman" w:hAnsi="Times New Roman" w:eastAsia="宋体"/>
          <w:b/>
          <w:color w:val="1F4E79"/>
          <w:sz w:val="30"/>
        </w:rPr>
        <w:t>先给你一张总路线图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0"/>
        <w:gridCol w:w="2380"/>
        <w:gridCol w:w="2380"/>
        <w:gridCol w:w="2380"/>
      </w:tblGrid>
      <w:tr>
        <w:tc>
          <w:tcPr>
            <w:tcW w:type="dxa" w:w="2380"/>
            <w:shd w:fill="DCE6F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章节</w:t>
            </w:r>
          </w:p>
        </w:tc>
        <w:tc>
          <w:tcPr>
            <w:tcW w:type="dxa" w:w="2380"/>
            <w:shd w:fill="DCE6F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这一节在做什么</w:t>
            </w:r>
          </w:p>
        </w:tc>
        <w:tc>
          <w:tcPr>
            <w:tcW w:type="dxa" w:w="2380"/>
            <w:shd w:fill="DCE6F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关键词</w:t>
            </w:r>
          </w:p>
        </w:tc>
        <w:tc>
          <w:tcPr>
            <w:tcW w:type="dxa" w:w="2380"/>
            <w:shd w:fill="DCE6F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一句话理解</w:t>
            </w:r>
          </w:p>
        </w:tc>
      </w:tr>
      <w:tr>
        <w:tc>
          <w:tcPr>
            <w:tcW w:type="dxa" w:w="2380"/>
          </w:tcPr>
          <w:p>
            <w:pPr>
              <w:spacing w:before="0" w:after="40" w:lineRule="auto" w:line="288"/>
            </w:pPr>
            <w:r>
              <w:rPr>
                <w:rFonts w:ascii="Times New Roman" w:hAnsi="Times New Roman" w:eastAsia="宋体"/>
                <w:b w:val="0"/>
                <w:sz w:val="21"/>
              </w:rPr>
              <w:t>4.1 引言</w:t>
            </w:r>
          </w:p>
        </w:tc>
        <w:tc>
          <w:tcPr>
            <w:tcW w:type="dxa" w:w="2380"/>
          </w:tcPr>
          <w:p>
            <w:pPr>
              <w:spacing w:before="0" w:after="40" w:lineRule="auto" w:line="288"/>
            </w:pPr>
            <w:r>
              <w:rPr>
                <w:rFonts w:ascii="Times New Roman" w:hAnsi="Times New Roman" w:eastAsia="宋体"/>
                <w:b w:val="0"/>
                <w:sz w:val="21"/>
              </w:rPr>
              <w:t>提出“为什么需要解释强化学习”</w:t>
            </w:r>
          </w:p>
        </w:tc>
        <w:tc>
          <w:tcPr>
            <w:tcW w:type="dxa" w:w="2380"/>
          </w:tcPr>
          <w:p>
            <w:pPr>
              <w:spacing w:before="0" w:after="40" w:lineRule="auto" w:line="288"/>
            </w:pPr>
            <w:r>
              <w:rPr>
                <w:rFonts w:ascii="Times New Roman" w:hAnsi="Times New Roman" w:eastAsia="宋体"/>
                <w:b w:val="0"/>
                <w:sz w:val="21"/>
              </w:rPr>
              <w:t>黑盒、可解释性、决策树替代</w:t>
            </w:r>
          </w:p>
        </w:tc>
        <w:tc>
          <w:tcPr>
            <w:tcW w:type="dxa" w:w="2380"/>
          </w:tcPr>
          <w:p>
            <w:pPr>
              <w:spacing w:before="0" w:after="40" w:lineRule="auto" w:line="288"/>
            </w:pPr>
            <w:r>
              <w:rPr>
                <w:rFonts w:ascii="Times New Roman" w:hAnsi="Times New Roman" w:eastAsia="宋体"/>
                <w:b w:val="0"/>
                <w:sz w:val="21"/>
              </w:rPr>
              <w:t>先把问题讲清楚</w:t>
            </w:r>
          </w:p>
        </w:tc>
      </w:tr>
      <w:tr>
        <w:tc>
          <w:tcPr>
            <w:tcW w:type="dxa" w:w="2380"/>
          </w:tcPr>
          <w:p>
            <w:pPr>
              <w:spacing w:before="0" w:after="40" w:lineRule="auto" w:line="288"/>
            </w:pPr>
            <w:r>
              <w:rPr>
                <w:rFonts w:ascii="Times New Roman" w:hAnsi="Times New Roman" w:eastAsia="宋体"/>
                <w:b w:val="0"/>
                <w:sz w:val="21"/>
              </w:rPr>
              <w:t>4.2 问题描述</w:t>
            </w:r>
          </w:p>
        </w:tc>
        <w:tc>
          <w:tcPr>
            <w:tcW w:type="dxa" w:w="2380"/>
          </w:tcPr>
          <w:p>
            <w:pPr>
              <w:spacing w:before="0" w:after="40" w:lineRule="auto" w:line="288"/>
            </w:pPr>
            <w:r>
              <w:rPr>
                <w:rFonts w:ascii="Times New Roman" w:hAnsi="Times New Roman" w:eastAsia="宋体"/>
                <w:b w:val="0"/>
                <w:sz w:val="21"/>
              </w:rPr>
              <w:t>定义什么叫“策略解释”</w:t>
            </w:r>
          </w:p>
        </w:tc>
        <w:tc>
          <w:tcPr>
            <w:tcW w:type="dxa" w:w="2380"/>
          </w:tcPr>
          <w:p>
            <w:pPr>
              <w:spacing w:before="0" w:after="40" w:lineRule="auto" w:line="288"/>
            </w:pPr>
            <w:r>
              <w:rPr>
                <w:rFonts w:ascii="Times New Roman" w:hAnsi="Times New Roman" w:eastAsia="宋体"/>
                <w:b w:val="0"/>
                <w:sz w:val="21"/>
              </w:rPr>
              <w:t>状态序列、动作概率、δ 解释度</w:t>
            </w:r>
          </w:p>
        </w:tc>
        <w:tc>
          <w:tcPr>
            <w:tcW w:type="dxa" w:w="2380"/>
          </w:tcPr>
          <w:p>
            <w:pPr>
              <w:spacing w:before="0" w:after="40" w:lineRule="auto" w:line="288"/>
            </w:pPr>
            <w:r>
              <w:rPr>
                <w:rFonts w:ascii="Times New Roman" w:hAnsi="Times New Roman" w:eastAsia="宋体"/>
                <w:b w:val="0"/>
                <w:sz w:val="21"/>
              </w:rPr>
              <w:t>给可解释性一个更形式化的说法</w:t>
            </w:r>
          </w:p>
        </w:tc>
      </w:tr>
      <w:tr>
        <w:tc>
          <w:tcPr>
            <w:tcW w:type="dxa" w:w="2380"/>
          </w:tcPr>
          <w:p>
            <w:pPr>
              <w:spacing w:before="0" w:after="40" w:lineRule="auto" w:line="288"/>
            </w:pPr>
            <w:r>
              <w:rPr>
                <w:rFonts w:ascii="Times New Roman" w:hAnsi="Times New Roman" w:eastAsia="宋体"/>
                <w:b w:val="0"/>
                <w:sz w:val="21"/>
              </w:rPr>
              <w:t>4.3 策略提取与规则解释</w:t>
            </w:r>
          </w:p>
        </w:tc>
        <w:tc>
          <w:tcPr>
            <w:tcW w:type="dxa" w:w="2380"/>
          </w:tcPr>
          <w:p>
            <w:pPr>
              <w:spacing w:before="0" w:after="40" w:lineRule="auto" w:line="288"/>
            </w:pPr>
            <w:r>
              <w:rPr>
                <w:rFonts w:ascii="Times New Roman" w:hAnsi="Times New Roman" w:eastAsia="宋体"/>
                <w:b w:val="0"/>
                <w:sz w:val="21"/>
              </w:rPr>
              <w:t>介绍主方法</w:t>
            </w:r>
          </w:p>
        </w:tc>
        <w:tc>
          <w:tcPr>
            <w:tcW w:type="dxa" w:w="2380"/>
          </w:tcPr>
          <w:p>
            <w:pPr>
              <w:spacing w:before="0" w:after="40" w:lineRule="auto" w:line="288"/>
            </w:pPr>
            <w:r>
              <w:rPr>
                <w:rFonts w:ascii="Times New Roman" w:hAnsi="Times New Roman" w:eastAsia="宋体"/>
                <w:b w:val="0"/>
                <w:sz w:val="21"/>
              </w:rPr>
              <w:t>QMIX、VIPER、CART、规则提取</w:t>
            </w:r>
          </w:p>
        </w:tc>
        <w:tc>
          <w:tcPr>
            <w:tcW w:type="dxa" w:w="2380"/>
          </w:tcPr>
          <w:p>
            <w:pPr>
              <w:spacing w:before="0" w:after="40" w:lineRule="auto" w:line="288"/>
            </w:pPr>
            <w:r>
              <w:rPr>
                <w:rFonts w:ascii="Times New Roman" w:hAnsi="Times New Roman" w:eastAsia="宋体"/>
                <w:b w:val="0"/>
                <w:sz w:val="21"/>
              </w:rPr>
              <w:t>把黑盒模型翻译成规则树</w:t>
            </w:r>
          </w:p>
        </w:tc>
      </w:tr>
      <w:tr>
        <w:tc>
          <w:tcPr>
            <w:tcW w:type="dxa" w:w="2380"/>
          </w:tcPr>
          <w:p>
            <w:pPr>
              <w:spacing w:before="0" w:after="40" w:lineRule="auto" w:line="288"/>
            </w:pPr>
            <w:r>
              <w:rPr>
                <w:rFonts w:ascii="Times New Roman" w:hAnsi="Times New Roman" w:eastAsia="宋体"/>
                <w:b w:val="0"/>
                <w:sz w:val="21"/>
              </w:rPr>
              <w:t>4.4 实验与分析</w:t>
            </w:r>
          </w:p>
        </w:tc>
        <w:tc>
          <w:tcPr>
            <w:tcW w:type="dxa" w:w="2380"/>
          </w:tcPr>
          <w:p>
            <w:pPr>
              <w:spacing w:before="0" w:after="40" w:lineRule="auto" w:line="288"/>
            </w:pPr>
            <w:r>
              <w:rPr>
                <w:rFonts w:ascii="Times New Roman" w:hAnsi="Times New Roman" w:eastAsia="宋体"/>
                <w:b w:val="0"/>
                <w:sz w:val="21"/>
              </w:rPr>
              <w:t>验证方法到底有没有用</w:t>
            </w:r>
          </w:p>
        </w:tc>
        <w:tc>
          <w:tcPr>
            <w:tcW w:type="dxa" w:w="2380"/>
          </w:tcPr>
          <w:p>
            <w:pPr>
              <w:spacing w:before="0" w:after="40" w:lineRule="auto" w:line="288"/>
            </w:pPr>
            <w:r>
              <w:rPr>
                <w:rFonts w:ascii="Times New Roman" w:hAnsi="Times New Roman" w:eastAsia="宋体"/>
                <w:b w:val="0"/>
                <w:sz w:val="21"/>
              </w:rPr>
              <w:t>两种场景、胜率、规则表</w:t>
            </w:r>
          </w:p>
        </w:tc>
        <w:tc>
          <w:tcPr>
            <w:tcW w:type="dxa" w:w="2380"/>
          </w:tcPr>
          <w:p>
            <w:pPr>
              <w:spacing w:before="0" w:after="40" w:lineRule="auto" w:line="288"/>
            </w:pPr>
            <w:r>
              <w:rPr>
                <w:rFonts w:ascii="Times New Roman" w:hAnsi="Times New Roman" w:eastAsia="宋体"/>
                <w:b w:val="0"/>
                <w:sz w:val="21"/>
              </w:rPr>
              <w:t>既看效果，也看解释出来的内容</w:t>
            </w:r>
          </w:p>
        </w:tc>
      </w:tr>
      <w:tr>
        <w:tc>
          <w:tcPr>
            <w:tcW w:type="dxa" w:w="2380"/>
          </w:tcPr>
          <w:p>
            <w:pPr>
              <w:spacing w:before="0" w:after="40" w:lineRule="auto" w:line="288"/>
            </w:pPr>
            <w:r>
              <w:rPr>
                <w:rFonts w:ascii="Times New Roman" w:hAnsi="Times New Roman" w:eastAsia="宋体"/>
                <w:b w:val="0"/>
                <w:sz w:val="21"/>
              </w:rPr>
              <w:t>4.5 本章小结</w:t>
            </w:r>
          </w:p>
        </w:tc>
        <w:tc>
          <w:tcPr>
            <w:tcW w:type="dxa" w:w="2380"/>
          </w:tcPr>
          <w:p>
            <w:pPr>
              <w:spacing w:before="0" w:after="40" w:lineRule="auto" w:line="288"/>
            </w:pPr>
            <w:r>
              <w:rPr>
                <w:rFonts w:ascii="Times New Roman" w:hAnsi="Times New Roman" w:eastAsia="宋体"/>
                <w:b w:val="0"/>
                <w:sz w:val="21"/>
              </w:rPr>
              <w:t>总结贡献与不足</w:t>
            </w:r>
          </w:p>
        </w:tc>
        <w:tc>
          <w:tcPr>
            <w:tcW w:type="dxa" w:w="2380"/>
          </w:tcPr>
          <w:p>
            <w:pPr>
              <w:spacing w:before="0" w:after="40" w:lineRule="auto" w:line="288"/>
            </w:pPr>
            <w:r>
              <w:rPr>
                <w:rFonts w:ascii="Times New Roman" w:hAnsi="Times New Roman" w:eastAsia="宋体"/>
                <w:b w:val="0"/>
                <w:sz w:val="21"/>
              </w:rPr>
              <w:t>策略库、可解释性、扩充空间</w:t>
            </w:r>
          </w:p>
        </w:tc>
        <w:tc>
          <w:tcPr>
            <w:tcW w:type="dxa" w:w="2380"/>
          </w:tcPr>
          <w:p>
            <w:pPr>
              <w:spacing w:before="0" w:after="40" w:lineRule="auto" w:line="288"/>
            </w:pPr>
            <w:r>
              <w:rPr>
                <w:rFonts w:ascii="Times New Roman" w:hAnsi="Times New Roman" w:eastAsia="宋体"/>
                <w:b w:val="0"/>
                <w:sz w:val="21"/>
              </w:rPr>
              <w:t>说明这一章解决了什么，还没解决什么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b/>
          <w:color w:val="1F4E79"/>
          <w:sz w:val="30"/>
        </w:rPr>
        <w:t>4.1 引言：作者为什么非要做这一章</w:t>
      </w:r>
    </w:p>
    <w:p>
      <w:pPr>
        <w:spacing w:before="0" w:after="80" w:lineRule="auto" w:line="324"/>
      </w:pPr>
      <w:r>
        <w:rPr>
          <w:rFonts w:ascii="Times New Roman" w:hAnsi="Times New Roman" w:eastAsia="宋体"/>
          <w:b/>
          <w:color w:val="3F3F3F"/>
          <w:sz w:val="24"/>
        </w:rPr>
        <w:t>原文主旨：</w:t>
      </w:r>
      <w:r>
        <w:rPr>
          <w:rFonts w:ascii="Times New Roman" w:hAnsi="Times New Roman" w:eastAsia="宋体"/>
          <w:b w:val="0"/>
          <w:sz w:val="24"/>
        </w:rPr>
        <w:t>作者首先指出，深度神经网络和深度强化学习虽然性能强，但因为隐藏层表征复杂，导致决策依据难以被人理解。第三章虽然已经用规则学习提高了内部可解释性，但泛化性和有效性仍有限，所以第四章转向另一条路线：保留强化学习的高性能，再想办法把它解释出来。</w:t>
      </w:r>
    </w:p>
    <w:p>
      <w:pPr>
        <w:spacing w:before="0" w:after="80" w:lineRule="auto" w:line="324"/>
      </w:pPr>
      <w:r>
        <w:rPr>
          <w:rFonts w:ascii="Times New Roman" w:hAnsi="Times New Roman" w:eastAsia="宋体"/>
          <w:b/>
          <w:color w:val="3F3F3F"/>
          <w:sz w:val="24"/>
        </w:rPr>
        <w:t>老师拆解：</w:t>
      </w:r>
      <w:r>
        <w:rPr>
          <w:rFonts w:ascii="Times New Roman" w:hAnsi="Times New Roman" w:eastAsia="宋体"/>
          <w:b w:val="0"/>
          <w:sz w:val="24"/>
        </w:rPr>
        <w:t>这其实是很经典的工程思路。不是因为一个模型难解释，就完全放弃它；而是先承认它擅长做什么，再用另一个更透明的模型去逼近它。作者这里选中的透明模型就是决策树。</w:t>
      </w:r>
    </w:p>
    <w:p>
      <w:pPr>
        <w:spacing w:before="0" w:after="80" w:lineRule="auto" w:line="324"/>
      </w:pPr>
      <w:r>
        <w:rPr>
          <w:rFonts w:ascii="Times New Roman" w:hAnsi="Times New Roman" w:eastAsia="宋体"/>
          <w:b/>
          <w:color w:val="3F3F3F"/>
          <w:sz w:val="24"/>
        </w:rPr>
        <w:t>通俗理解：</w:t>
      </w:r>
      <w:r>
        <w:rPr>
          <w:rFonts w:ascii="Times New Roman" w:hAnsi="Times New Roman" w:eastAsia="宋体"/>
          <w:b w:val="0"/>
          <w:sz w:val="24"/>
        </w:rPr>
        <w:t>你可以把第三章理解成“直接训练一个会解释的学生”，把第四章理解成“先找一个很会做题但不爱讲过程的学霸，再让另一个更会讲题的学生去学他的解法”。</w:t>
      </w:r>
    </w:p>
    <w:p>
      <w:pPr>
        <w:spacing w:before="0" w:after="80" w:lineRule="auto" w:line="324"/>
      </w:pPr>
      <w:r>
        <w:rPr>
          <w:rFonts w:ascii="Times New Roman" w:hAnsi="Times New Roman" w:eastAsia="宋体"/>
          <w:b/>
          <w:color w:val="3F3F3F"/>
          <w:sz w:val="24"/>
        </w:rPr>
        <w:t>你该记住什么：</w:t>
      </w:r>
      <w:r>
        <w:rPr>
          <w:rFonts w:ascii="Times New Roman" w:hAnsi="Times New Roman" w:eastAsia="宋体"/>
          <w:b w:val="0"/>
          <w:sz w:val="24"/>
        </w:rPr>
        <w:t>第四章的问题不是‘怎么训练最强策略’，而是‘怎么在尽量不损失性能的前提下，把强化学习策略变成可解释规则’。</w:t>
      </w:r>
    </w:p>
    <w:p>
      <w:pPr>
        <w:pStyle w:val="Heading1"/>
      </w:pPr>
      <w:r>
        <w:rPr>
          <w:rFonts w:ascii="Times New Roman" w:hAnsi="Times New Roman" w:eastAsia="宋体"/>
          <w:b/>
          <w:color w:val="1F4E79"/>
          <w:sz w:val="30"/>
        </w:rPr>
        <w:t>4.2 问题描述：什么叫“策略解释”</w:t>
      </w:r>
    </w:p>
    <w:p>
      <w:pPr>
        <w:spacing w:before="0" w:after="80" w:lineRule="auto" w:line="324"/>
      </w:pPr>
      <w:r>
        <w:rPr>
          <w:rFonts w:ascii="Times New Roman" w:hAnsi="Times New Roman" w:eastAsia="宋体"/>
          <w:b/>
          <w:color w:val="3F3F3F"/>
          <w:sz w:val="24"/>
        </w:rPr>
        <w:t>原文主旨：</w:t>
      </w:r>
      <w:r>
        <w:rPr>
          <w:rFonts w:ascii="Times New Roman" w:hAnsi="Times New Roman" w:eastAsia="宋体"/>
          <w:b w:val="0"/>
          <w:sz w:val="24"/>
        </w:rPr>
        <w:t>作者把策略解释描述为建立一种可解释映射，把状态序列和决策结果联系起来。文中用动作概率和一个解释误差 δ 来表达：如果人类对模型动作概率的理解，与模型真实动作分布足够接近，那么这种解释就是有效的。δ 越小，解释程度越高。</w:t>
      </w:r>
    </w:p>
    <w:p>
      <w:pPr>
        <w:spacing w:before="0" w:after="80" w:lineRule="auto" w:line="324"/>
      </w:pPr>
      <w:r>
        <w:rPr>
          <w:rFonts w:ascii="Times New Roman" w:hAnsi="Times New Roman" w:eastAsia="宋体"/>
          <w:b/>
          <w:color w:val="3F3F3F"/>
          <w:sz w:val="24"/>
        </w:rPr>
        <w:t>数学表达想说明什么：</w:t>
      </w:r>
      <w:r>
        <w:rPr>
          <w:rFonts w:ascii="Times New Roman" w:hAnsi="Times New Roman" w:eastAsia="宋体"/>
          <w:b w:val="0"/>
          <w:sz w:val="24"/>
        </w:rPr>
        <w:t>公式 (4.1) 表示智能体在给定状态序列下选动作的概率；公式 (4.2) 则是在说：人类基于解释模型所推测出来的动作概率，应该尽可能接近真实策略输出。这个距离如果能控制得很小，就说明解释模型抓住了决策规律。</w:t>
      </w:r>
    </w:p>
    <w:p>
      <w:pPr>
        <w:spacing w:before="0" w:after="80" w:lineRule="auto" w:line="324"/>
      </w:pPr>
      <w:r>
        <w:rPr>
          <w:rFonts w:ascii="Times New Roman" w:hAnsi="Times New Roman" w:eastAsia="宋体"/>
          <w:b/>
          <w:color w:val="3F3F3F"/>
          <w:sz w:val="24"/>
        </w:rPr>
        <w:t>为什么这一节重要：</w:t>
      </w:r>
      <w:r>
        <w:rPr>
          <w:rFonts w:ascii="Times New Roman" w:hAnsi="Times New Roman" w:eastAsia="宋体"/>
          <w:b w:val="0"/>
          <w:sz w:val="24"/>
        </w:rPr>
        <w:t>很多同学读论文容易跳过“问题描述”，但这一节其实在立标尺。作者是在告诉你：我后面不是随便画一棵树就算解释，而是要让这棵树在行为上尽量接近原始强化学习策略。</w:t>
      </w:r>
    </w:p>
    <w:p>
      <w:pPr>
        <w:spacing w:before="0" w:after="80" w:lineRule="auto" w:line="324"/>
      </w:pPr>
      <w:r>
        <w:rPr>
          <w:rFonts w:ascii="Times New Roman" w:hAnsi="Times New Roman" w:eastAsia="宋体"/>
          <w:b/>
          <w:color w:val="3F3F3F"/>
          <w:sz w:val="24"/>
        </w:rPr>
        <w:t>本科生视角提示：</w:t>
      </w:r>
      <w:r>
        <w:rPr>
          <w:rFonts w:ascii="Times New Roman" w:hAnsi="Times New Roman" w:eastAsia="宋体"/>
          <w:b w:val="0"/>
          <w:sz w:val="24"/>
        </w:rPr>
        <w:t>这里最值得学的不是公式本身，而是作者把‘可解释’这件事从口号变成了一个可以比较、可以优化的目标。做系统设计时，这种把模糊目标形式化的能力很重要。</w:t>
      </w:r>
    </w:p>
    <w:p>
      <w:pPr>
        <w:pStyle w:val="Heading1"/>
      </w:pPr>
      <w:r>
        <w:rPr>
          <w:rFonts w:ascii="Times New Roman" w:hAnsi="Times New Roman" w:eastAsia="宋体"/>
          <w:b/>
          <w:color w:val="1F4E79"/>
          <w:sz w:val="30"/>
        </w:rPr>
        <w:t>4.3 策略提取与规则解释：第四章最核心的技术部分</w:t>
      </w:r>
    </w:p>
    <w:p>
      <w:pPr>
        <w:pStyle w:val="Heading2"/>
      </w:pPr>
      <w:r>
        <w:rPr>
          <w:rFonts w:ascii="Times New Roman" w:hAnsi="Times New Roman" w:eastAsia="宋体"/>
          <w:b/>
          <w:color w:val="2F5496"/>
          <w:sz w:val="26"/>
        </w:rPr>
        <w:t>4.3 的总体流程</w:t>
      </w:r>
    </w:p>
    <w:p>
      <w:pPr>
        <w:pStyle w:val="ListBullet"/>
        <w:spacing w:before="0" w:after="80" w:lineRule="auto" w:line="312"/>
      </w:pPr>
      <w:r>
        <w:rPr>
          <w:rFonts w:ascii="Times New Roman" w:hAnsi="Times New Roman" w:eastAsia="宋体"/>
          <w:b w:val="0"/>
          <w:sz w:val="24"/>
        </w:rPr>
        <w:t>先让训练好的强化学习模型和环境持续交互，得到博弈数据。</w:t>
      </w:r>
    </w:p>
    <w:p>
      <w:pPr>
        <w:pStyle w:val="ListBullet"/>
        <w:spacing w:before="0" w:after="80" w:lineRule="auto" w:line="312"/>
      </w:pPr>
      <w:r>
        <w:rPr>
          <w:rFonts w:ascii="Times New Roman" w:hAnsi="Times New Roman" w:eastAsia="宋体"/>
          <w:b w:val="0"/>
          <w:sz w:val="24"/>
        </w:rPr>
        <w:t>把数据预处理成“特征 + 标签”的监督学习形式。</w:t>
      </w:r>
    </w:p>
    <w:p>
      <w:pPr>
        <w:pStyle w:val="ListBullet"/>
        <w:spacing w:before="0" w:after="80" w:lineRule="auto" w:line="312"/>
      </w:pPr>
      <w:r>
        <w:rPr>
          <w:rFonts w:ascii="Times New Roman" w:hAnsi="Times New Roman" w:eastAsia="宋体"/>
          <w:b w:val="0"/>
          <w:sz w:val="24"/>
        </w:rPr>
        <w:t>利用 VIPER 算法训练 CART 决策树，让树模仿强化学习模型。</w:t>
      </w:r>
    </w:p>
    <w:p>
      <w:pPr>
        <w:pStyle w:val="ListBullet"/>
        <w:spacing w:before="0" w:after="80" w:lineRule="auto" w:line="312"/>
      </w:pPr>
      <w:r>
        <w:rPr>
          <w:rFonts w:ascii="Times New Roman" w:hAnsi="Times New Roman" w:eastAsia="宋体"/>
          <w:b w:val="0"/>
          <w:sz w:val="24"/>
        </w:rPr>
        <w:t>验证决策树的效果是否接近原模型。</w:t>
      </w:r>
    </w:p>
    <w:p>
      <w:pPr>
        <w:pStyle w:val="ListBullet"/>
        <w:spacing w:before="0" w:after="80" w:lineRule="auto" w:line="312"/>
      </w:pPr>
      <w:r>
        <w:rPr>
          <w:rFonts w:ascii="Times New Roman" w:hAnsi="Times New Roman" w:eastAsia="宋体"/>
          <w:b w:val="0"/>
          <w:sz w:val="24"/>
        </w:rPr>
        <w:t>从决策树中提取 IF-THEN 规则，并合并冗余规则，形成策略规则库。</w:t>
      </w:r>
    </w:p>
    <w:p>
      <w:pPr>
        <w:spacing w:before="0" w:after="80" w:lineRule="auto" w:line="324"/>
      </w:pPr>
      <w:r>
        <w:rPr>
          <w:rFonts w:ascii="Times New Roman" w:hAnsi="Times New Roman" w:eastAsia="宋体"/>
          <w:b/>
          <w:color w:val="3F3F3F"/>
          <w:sz w:val="24"/>
        </w:rPr>
        <w:t>一句话概括：</w:t>
      </w:r>
      <w:r>
        <w:rPr>
          <w:rFonts w:ascii="Times New Roman" w:hAnsi="Times New Roman" w:eastAsia="宋体"/>
          <w:b w:val="0"/>
          <w:sz w:val="24"/>
        </w:rPr>
        <w:t>这一步做的是“行为蒸馏 + 结构化解释”。</w:t>
      </w:r>
    </w:p>
    <w:p>
      <w:pPr>
        <w:pStyle w:val="Heading2"/>
      </w:pPr>
      <w:r>
        <w:rPr>
          <w:rFonts w:ascii="Times New Roman" w:hAnsi="Times New Roman" w:eastAsia="宋体"/>
          <w:b/>
          <w:color w:val="2F5496"/>
          <w:sz w:val="26"/>
        </w:rPr>
        <w:t>4.3.1 强化学习模型：为什么是 QMIX</w:t>
      </w:r>
    </w:p>
    <w:p>
      <w:pPr>
        <w:spacing w:before="0" w:after="80" w:lineRule="auto" w:line="324"/>
      </w:pPr>
      <w:r>
        <w:rPr>
          <w:rFonts w:ascii="Times New Roman" w:hAnsi="Times New Roman" w:eastAsia="宋体"/>
          <w:b/>
          <w:color w:val="3F3F3F"/>
          <w:sz w:val="24"/>
        </w:rPr>
        <w:t>原文主旨：</w:t>
      </w:r>
      <w:r>
        <w:rPr>
          <w:rFonts w:ascii="Times New Roman" w:hAnsi="Times New Roman" w:eastAsia="宋体"/>
          <w:b w:val="0"/>
          <w:sz w:val="24"/>
        </w:rPr>
        <w:t>作者先介绍强化学习基本框架，再说明本章使用 QMIX 作为原始专家策略模型。QMIX 是多智能体强化学习算法，采用集中式训练、分布式执行，用混合网络把各智能体局部 Q 值合成为团队全局 Q 值。</w:t>
      </w:r>
    </w:p>
    <w:p>
      <w:pPr>
        <w:spacing w:before="0" w:after="80" w:lineRule="auto" w:line="324"/>
      </w:pPr>
      <w:r>
        <w:rPr>
          <w:rFonts w:ascii="Times New Roman" w:hAnsi="Times New Roman" w:eastAsia="宋体"/>
          <w:b/>
          <w:color w:val="3F3F3F"/>
          <w:sz w:val="24"/>
        </w:rPr>
        <w:t>你该怎么理解 QMIX：</w:t>
      </w:r>
      <w:r>
        <w:rPr>
          <w:rFonts w:ascii="Times New Roman" w:hAnsi="Times New Roman" w:eastAsia="宋体"/>
          <w:b w:val="0"/>
          <w:sz w:val="24"/>
        </w:rPr>
        <w:t>QMIX 适合多智能体协同，因为每个体可以依据自己的局部观测执行动作，但训练时又能通过全局信息学习团队层面的协同价值。对于这篇论文来说，QMIX 的角色不是被改进的对象，而是“老师傅”或“专家示范源”。</w:t>
      </w:r>
    </w:p>
    <w:p>
      <w:pPr>
        <w:spacing w:before="0" w:after="80" w:lineRule="auto" w:line="324"/>
      </w:pPr>
      <w:r>
        <w:rPr>
          <w:rFonts w:ascii="Times New Roman" w:hAnsi="Times New Roman" w:eastAsia="宋体"/>
          <w:b/>
          <w:color w:val="3F3F3F"/>
          <w:sz w:val="24"/>
        </w:rPr>
        <w:t>为什么先讲 QMIX：</w:t>
      </w:r>
      <w:r>
        <w:rPr>
          <w:rFonts w:ascii="Times New Roman" w:hAnsi="Times New Roman" w:eastAsia="宋体"/>
          <w:b w:val="0"/>
          <w:sz w:val="24"/>
        </w:rPr>
        <w:t>因为后面的策略提取本质上是在学 QMIX 的行为。你如果不知道老师是谁，就无法理解学生在模仿什么。</w:t>
      </w:r>
    </w:p>
    <w:p>
      <w:pPr>
        <w:pStyle w:val="Heading2"/>
      </w:pPr>
      <w:r>
        <w:rPr>
          <w:rFonts w:ascii="Times New Roman" w:hAnsi="Times New Roman" w:eastAsia="宋体"/>
          <w:b/>
          <w:color w:val="2F5496"/>
          <w:sz w:val="26"/>
        </w:rPr>
        <w:t>4.3.2 基于 VIPER 的决策树构建</w:t>
      </w:r>
    </w:p>
    <w:p>
      <w:pPr>
        <w:spacing w:before="0" w:after="80" w:lineRule="auto" w:line="324"/>
      </w:pPr>
      <w:r>
        <w:rPr>
          <w:rFonts w:ascii="Times New Roman" w:hAnsi="Times New Roman" w:eastAsia="宋体"/>
          <w:b/>
          <w:color w:val="3F3F3F"/>
          <w:sz w:val="24"/>
        </w:rPr>
        <w:t>核心思想：</w:t>
      </w:r>
      <w:r>
        <w:rPr>
          <w:rFonts w:ascii="Times New Roman" w:hAnsi="Times New Roman" w:eastAsia="宋体"/>
          <w:b w:val="0"/>
          <w:sz w:val="24"/>
        </w:rPr>
        <w:t>VIPER 属于模仿学习框架下的策略提取算法。与普通的监督学习相比，它不只是拿“状态对应什么动作”来训练决策树，还会利用 Q 值信息强调关键决策样本的重要性。</w:t>
      </w:r>
    </w:p>
    <w:p>
      <w:pPr>
        <w:spacing w:before="0" w:after="80" w:lineRule="auto" w:line="324"/>
      </w:pPr>
      <w:r>
        <w:rPr>
          <w:rFonts w:ascii="Times New Roman" w:hAnsi="Times New Roman" w:eastAsia="宋体"/>
          <w:b/>
          <w:color w:val="3F3F3F"/>
          <w:sz w:val="24"/>
        </w:rPr>
        <w:t>和 DAGGER 的关系：</w:t>
      </w:r>
      <w:r>
        <w:rPr>
          <w:rFonts w:ascii="Times New Roman" w:hAnsi="Times New Roman" w:eastAsia="宋体"/>
          <w:b w:val="0"/>
          <w:sz w:val="24"/>
        </w:rPr>
        <w:t>DAGGER 会不断收集当前策略经过的状态，再由专家给这些状态打标签，从而逐轮逼近专家策略。VIPER 在这个基础上更进一步，引入价值信息，让模型知道哪些状态下的错误更“贵”，因此更值得重点学。</w:t>
      </w:r>
    </w:p>
    <w:p>
      <w:pPr>
        <w:spacing w:before="0" w:after="80" w:lineRule="auto" w:line="324"/>
      </w:pPr>
      <w:r>
        <w:rPr>
          <w:rFonts w:ascii="Times New Roman" w:hAnsi="Times New Roman" w:eastAsia="宋体"/>
          <w:b/>
          <w:color w:val="3F3F3F"/>
          <w:sz w:val="24"/>
        </w:rPr>
        <w:t>伪代码你要怎么看：</w:t>
      </w:r>
      <w:r>
        <w:rPr>
          <w:rFonts w:ascii="Times New Roman" w:hAnsi="Times New Roman" w:eastAsia="宋体"/>
          <w:b w:val="0"/>
          <w:sz w:val="24"/>
        </w:rPr>
        <w:t>算法 4.1 的精髓不在于逐行背下来，而在于把握循环逻辑：采样轨迹、合并数据、按损失重采样、重新训练决策树，然后从多个候选树中找最优。</w:t>
      </w:r>
    </w:p>
    <w:p>
      <w:pPr>
        <w:spacing w:before="0" w:after="80" w:lineRule="auto" w:line="324"/>
      </w:pPr>
      <w:r>
        <w:rPr>
          <w:rFonts w:ascii="Times New Roman" w:hAnsi="Times New Roman" w:eastAsia="宋体"/>
          <w:b/>
          <w:color w:val="3F3F3F"/>
          <w:sz w:val="24"/>
        </w:rPr>
        <w:t>老师点评：</w:t>
      </w:r>
      <w:r>
        <w:rPr>
          <w:rFonts w:ascii="Times New Roman" w:hAnsi="Times New Roman" w:eastAsia="宋体"/>
          <w:b w:val="0"/>
          <w:sz w:val="24"/>
        </w:rPr>
        <w:t>这一节体现了作者的技术判断。直接拿静态数据训练树可能只学到表面频率，而 VIPER 让树更像在学‘哪些地方最不能犯错’，这就更接近真正的策略提取。</w:t>
      </w:r>
    </w:p>
    <w:p>
      <w:pPr>
        <w:pStyle w:val="Heading2"/>
      </w:pPr>
      <w:r>
        <w:rPr>
          <w:rFonts w:ascii="Times New Roman" w:hAnsi="Times New Roman" w:eastAsia="宋体"/>
          <w:b/>
          <w:color w:val="2F5496"/>
          <w:sz w:val="26"/>
        </w:rPr>
        <w:t>4.3.3 决策规则提取</w:t>
      </w:r>
    </w:p>
    <w:p>
      <w:pPr>
        <w:spacing w:before="0" w:after="80" w:lineRule="auto" w:line="324"/>
      </w:pPr>
      <w:r>
        <w:rPr>
          <w:rFonts w:ascii="Times New Roman" w:hAnsi="Times New Roman" w:eastAsia="宋体"/>
          <w:b/>
          <w:color w:val="3F3F3F"/>
          <w:sz w:val="24"/>
        </w:rPr>
        <w:t>原文主旨：</w:t>
      </w:r>
      <w:r>
        <w:rPr>
          <w:rFonts w:ascii="Times New Roman" w:hAnsi="Times New Roman" w:eastAsia="宋体"/>
          <w:b w:val="0"/>
          <w:sz w:val="24"/>
        </w:rPr>
        <w:t>决策树训练好之后，作者把从根节点到叶子节点的每一条路径都转化成 IF-THEN 规则。然后再检查规则之间是否存在包含关系或高度相似，进一步合并成更泛化的规则。</w:t>
      </w:r>
    </w:p>
    <w:p>
      <w:pPr>
        <w:spacing w:before="0" w:after="80" w:lineRule="auto" w:line="324"/>
      </w:pPr>
      <w:r>
        <w:rPr>
          <w:rFonts w:ascii="Times New Roman" w:hAnsi="Times New Roman" w:eastAsia="宋体"/>
          <w:b/>
          <w:color w:val="3F3F3F"/>
          <w:sz w:val="24"/>
        </w:rPr>
        <w:t>为什么这里很关键：</w:t>
      </w:r>
      <w:r>
        <w:rPr>
          <w:rFonts w:ascii="Times New Roman" w:hAnsi="Times New Roman" w:eastAsia="宋体"/>
          <w:b w:val="0"/>
          <w:sz w:val="24"/>
        </w:rPr>
        <w:t>如果只停留在‘我有一棵树’，其实解释性还没有完全落地。树虽然比神经网络透明，但对领域专家来说，真正容易讨论和沉淀的是规则。规则可以被审查、修改、加入知识库，也更适合形成作战经验。</w:t>
      </w:r>
    </w:p>
    <w:p>
      <w:pPr>
        <w:spacing w:before="0" w:after="80" w:lineRule="auto" w:line="324"/>
      </w:pPr>
      <w:r>
        <w:rPr>
          <w:rFonts w:ascii="Times New Roman" w:hAnsi="Times New Roman" w:eastAsia="宋体"/>
          <w:b/>
          <w:color w:val="3F3F3F"/>
          <w:sz w:val="24"/>
        </w:rPr>
        <w:t>本科生可类比：</w:t>
      </w:r>
      <w:r>
        <w:rPr>
          <w:rFonts w:ascii="Times New Roman" w:hAnsi="Times New Roman" w:eastAsia="宋体"/>
          <w:b w:val="0"/>
          <w:sz w:val="24"/>
        </w:rPr>
        <w:t>这一步很像把代码执行流程图再整理成业务规则文档。前者能看，后者更方便沟通和复用。</w:t>
      </w:r>
    </w:p>
    <w:p>
      <w:pPr>
        <w:pStyle w:val="Heading1"/>
      </w:pPr>
      <w:r>
        <w:rPr>
          <w:rFonts w:ascii="Times New Roman" w:hAnsi="Times New Roman" w:eastAsia="宋体"/>
          <w:b/>
          <w:color w:val="1F4E79"/>
          <w:sz w:val="30"/>
        </w:rPr>
        <w:t>4.4 实验与分析：作者怎么证明这套方法不是纸上谈兵</w:t>
      </w:r>
    </w:p>
    <w:p>
      <w:pPr>
        <w:pStyle w:val="Heading2"/>
      </w:pPr>
      <w:r>
        <w:rPr>
          <w:rFonts w:ascii="Times New Roman" w:hAnsi="Times New Roman" w:eastAsia="宋体"/>
          <w:b/>
          <w:color w:val="2F5496"/>
          <w:sz w:val="26"/>
        </w:rPr>
        <w:t>4.4.1 实验场景</w:t>
      </w:r>
    </w:p>
    <w:p>
      <w:pPr>
        <w:spacing w:before="0" w:after="80" w:lineRule="auto" w:line="324"/>
      </w:pPr>
      <w:r>
        <w:rPr>
          <w:rFonts w:ascii="Times New Roman" w:hAnsi="Times New Roman" w:eastAsia="宋体"/>
          <w:b/>
          <w:color w:val="3F3F3F"/>
          <w:sz w:val="24"/>
        </w:rPr>
        <w:t>场景设定：</w:t>
      </w:r>
      <w:r>
        <w:rPr>
          <w:rFonts w:ascii="Times New Roman" w:hAnsi="Times New Roman" w:eastAsia="宋体"/>
          <w:b w:val="0"/>
          <w:sz w:val="24"/>
        </w:rPr>
        <w:t>作者基于联合对抗智能博弈对抗平台，构建海空联合防空场景。红方防空单位有四个攻击通道，一次决策最多下达四次攻击；蓝方有两种策略环境：正面攻击和多方向突击。</w:t>
      </w:r>
    </w:p>
    <w:p>
      <w:pPr>
        <w:spacing w:before="0" w:after="80" w:lineRule="auto" w:line="324"/>
      </w:pPr>
      <w:r>
        <w:rPr>
          <w:rFonts w:ascii="Times New Roman" w:hAnsi="Times New Roman" w:eastAsia="宋体"/>
          <w:b/>
          <w:color w:val="3F3F3F"/>
          <w:sz w:val="24"/>
        </w:rPr>
        <w:t>你要抓住的点：</w:t>
      </w:r>
      <w:r>
        <w:rPr>
          <w:rFonts w:ascii="Times New Roman" w:hAnsi="Times New Roman" w:eastAsia="宋体"/>
          <w:b w:val="0"/>
          <w:sz w:val="24"/>
        </w:rPr>
        <w:t>这里不是普通分类任务，而是异构多智能体、非对称、动态对抗环境。也就是说，这个问题本身是复杂的，所以如果规则解释方法还能奏效，就更说明方法有价值。</w:t>
      </w:r>
    </w:p>
    <w:p>
      <w:pPr>
        <w:pStyle w:val="Heading2"/>
      </w:pPr>
      <w:r>
        <w:rPr>
          <w:rFonts w:ascii="Times New Roman" w:hAnsi="Times New Roman" w:eastAsia="宋体"/>
          <w:b/>
          <w:color w:val="2F5496"/>
          <w:sz w:val="26"/>
        </w:rPr>
        <w:t>4.4.2 实验内容与数据预处理</w:t>
      </w:r>
    </w:p>
    <w:p>
      <w:pPr>
        <w:spacing w:before="0" w:after="80" w:lineRule="auto" w:line="324"/>
      </w:pPr>
      <w:r>
        <w:rPr>
          <w:rFonts w:ascii="Times New Roman" w:hAnsi="Times New Roman" w:eastAsia="宋体"/>
          <w:b/>
          <w:color w:val="3F3F3F"/>
          <w:sz w:val="24"/>
        </w:rPr>
        <w:t>状态设计：</w:t>
      </w:r>
      <w:r>
        <w:rPr>
          <w:rFonts w:ascii="Times New Roman" w:hAnsi="Times New Roman" w:eastAsia="宋体"/>
          <w:b w:val="0"/>
          <w:sz w:val="24"/>
        </w:rPr>
        <w:t>状态变量共 35 个，包括 10 架蓝方目标相对坐标、类型、红方远中近距离弹药数、攻击次数和上一次动作等。动作空间有 11 类，其中 0 到 9 对应攻击不同目标，10 表示不攻击。</w:t>
      </w:r>
    </w:p>
    <w:p>
      <w:pPr>
        <w:spacing w:before="0" w:after="80" w:lineRule="auto" w:line="324"/>
      </w:pPr>
      <w:r>
        <w:rPr>
          <w:rFonts w:ascii="Times New Roman" w:hAnsi="Times New Roman" w:eastAsia="宋体"/>
          <w:b/>
          <w:color w:val="3F3F3F"/>
          <w:sz w:val="24"/>
        </w:rPr>
        <w:t>预处理意义：</w:t>
      </w:r>
      <w:r>
        <w:rPr>
          <w:rFonts w:ascii="Times New Roman" w:hAnsi="Times New Roman" w:eastAsia="宋体"/>
          <w:b w:val="0"/>
          <w:sz w:val="24"/>
        </w:rPr>
        <w:t>决策树对特征表达比较敏感。作者对坐标做缩放、对离散资源变量做归一化，是为了让不同量纲的特征能更稳定地参与划分。</w:t>
      </w:r>
    </w:p>
    <w:p>
      <w:pPr>
        <w:spacing w:before="0" w:after="80" w:lineRule="auto" w:line="324"/>
      </w:pPr>
      <w:r>
        <w:rPr>
          <w:rFonts w:ascii="Times New Roman" w:hAnsi="Times New Roman" w:eastAsia="宋体"/>
          <w:b/>
          <w:color w:val="3F3F3F"/>
          <w:sz w:val="24"/>
        </w:rPr>
        <w:t>一个很细但很重要的设计：</w:t>
      </w:r>
      <w:r>
        <w:rPr>
          <w:rFonts w:ascii="Times New Roman" w:hAnsi="Times New Roman" w:eastAsia="宋体"/>
          <w:b w:val="0"/>
          <w:sz w:val="24"/>
        </w:rPr>
        <w:t>由于样本类别不平衡，作者在采样时设置了权重，攻击指令权重为 8，不攻击权重为 1。这意味着训练时更强调攻击类决策样本。后面的结果提升，很可能与这一设置关系很大。</w:t>
      </w:r>
    </w:p>
    <w:p>
      <w:pPr>
        <w:pStyle w:val="Heading2"/>
      </w:pPr>
      <w:r>
        <w:rPr>
          <w:rFonts w:ascii="Times New Roman" w:hAnsi="Times New Roman" w:eastAsia="宋体"/>
          <w:b/>
          <w:color w:val="2F5496"/>
          <w:sz w:val="26"/>
        </w:rPr>
        <w:t>4.4.3 实验一：蓝方正面攻击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0"/>
        <w:gridCol w:w="2380"/>
        <w:gridCol w:w="2380"/>
        <w:gridCol w:w="2380"/>
      </w:tblGrid>
      <w:tr>
        <w:tc>
          <w:tcPr>
            <w:tcW w:type="dxa" w:w="2380"/>
            <w:shd w:fill="E2F0D9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模型</w:t>
            </w:r>
          </w:p>
        </w:tc>
        <w:tc>
          <w:tcPr>
            <w:tcW w:type="dxa" w:w="2380"/>
            <w:shd w:fill="E2F0D9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胜局数</w:t>
            </w:r>
          </w:p>
        </w:tc>
        <w:tc>
          <w:tcPr>
            <w:tcW w:type="dxa" w:w="2380"/>
            <w:shd w:fill="E2F0D9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败局数</w:t>
            </w:r>
          </w:p>
        </w:tc>
        <w:tc>
          <w:tcPr>
            <w:tcW w:type="dxa" w:w="2380"/>
            <w:shd w:fill="E2F0D9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胜率</w:t>
            </w:r>
          </w:p>
        </w:tc>
      </w:tr>
      <w:tr>
        <w:tc>
          <w:tcPr>
            <w:tcW w:type="dxa" w:w="2380"/>
          </w:tcPr>
          <w:p>
            <w:pPr>
              <w:spacing w:before="0" w:after="40" w:lineRule="auto" w:line="288"/>
            </w:pPr>
            <w:r>
              <w:rPr>
                <w:rFonts w:ascii="Times New Roman" w:hAnsi="Times New Roman" w:eastAsia="宋体"/>
                <w:b w:val="0"/>
                <w:sz w:val="21"/>
              </w:rPr>
              <w:t>决策树</w:t>
            </w:r>
          </w:p>
        </w:tc>
        <w:tc>
          <w:tcPr>
            <w:tcW w:type="dxa" w:w="2380"/>
          </w:tcPr>
          <w:p>
            <w:pPr>
              <w:spacing w:before="0" w:after="40" w:lineRule="auto" w:line="288"/>
            </w:pPr>
            <w:r>
              <w:rPr>
                <w:rFonts w:ascii="Times New Roman" w:hAnsi="Times New Roman" w:eastAsia="宋体"/>
                <w:b w:val="0"/>
                <w:sz w:val="21"/>
              </w:rPr>
              <w:t>884</w:t>
            </w:r>
          </w:p>
        </w:tc>
        <w:tc>
          <w:tcPr>
            <w:tcW w:type="dxa" w:w="2380"/>
          </w:tcPr>
          <w:p>
            <w:pPr>
              <w:spacing w:before="0" w:after="40" w:lineRule="auto" w:line="288"/>
            </w:pPr>
            <w:r>
              <w:rPr>
                <w:rFonts w:ascii="Times New Roman" w:hAnsi="Times New Roman" w:eastAsia="宋体"/>
                <w:b w:val="0"/>
                <w:sz w:val="21"/>
              </w:rPr>
              <w:t>116</w:t>
            </w:r>
          </w:p>
        </w:tc>
        <w:tc>
          <w:tcPr>
            <w:tcW w:type="dxa" w:w="2380"/>
          </w:tcPr>
          <w:p>
            <w:pPr>
              <w:spacing w:before="0" w:after="40" w:lineRule="auto" w:line="288"/>
            </w:pPr>
            <w:r>
              <w:rPr>
                <w:rFonts w:ascii="Times New Roman" w:hAnsi="Times New Roman" w:eastAsia="宋体"/>
                <w:b w:val="0"/>
                <w:sz w:val="21"/>
              </w:rPr>
              <w:t>88.4%</w:t>
            </w:r>
          </w:p>
        </w:tc>
      </w:tr>
      <w:tr>
        <w:tc>
          <w:tcPr>
            <w:tcW w:type="dxa" w:w="2380"/>
          </w:tcPr>
          <w:p>
            <w:pPr>
              <w:spacing w:before="0" w:after="40" w:lineRule="auto" w:line="288"/>
            </w:pPr>
            <w:r>
              <w:rPr>
                <w:rFonts w:ascii="Times New Roman" w:hAnsi="Times New Roman" w:eastAsia="宋体"/>
                <w:b w:val="0"/>
                <w:sz w:val="21"/>
              </w:rPr>
              <w:t>QMIX</w:t>
            </w:r>
          </w:p>
        </w:tc>
        <w:tc>
          <w:tcPr>
            <w:tcW w:type="dxa" w:w="2380"/>
          </w:tcPr>
          <w:p>
            <w:pPr>
              <w:spacing w:before="0" w:after="40" w:lineRule="auto" w:line="288"/>
            </w:pPr>
            <w:r>
              <w:rPr>
                <w:rFonts w:ascii="Times New Roman" w:hAnsi="Times New Roman" w:eastAsia="宋体"/>
                <w:b w:val="0"/>
                <w:sz w:val="21"/>
              </w:rPr>
              <w:t>772</w:t>
            </w:r>
          </w:p>
        </w:tc>
        <w:tc>
          <w:tcPr>
            <w:tcW w:type="dxa" w:w="2380"/>
          </w:tcPr>
          <w:p>
            <w:pPr>
              <w:spacing w:before="0" w:after="40" w:lineRule="auto" w:line="288"/>
            </w:pPr>
            <w:r>
              <w:rPr>
                <w:rFonts w:ascii="Times New Roman" w:hAnsi="Times New Roman" w:eastAsia="宋体"/>
                <w:b w:val="0"/>
                <w:sz w:val="21"/>
              </w:rPr>
              <w:t>228</w:t>
            </w:r>
          </w:p>
        </w:tc>
        <w:tc>
          <w:tcPr>
            <w:tcW w:type="dxa" w:w="2380"/>
          </w:tcPr>
          <w:p>
            <w:pPr>
              <w:spacing w:before="0" w:after="40" w:lineRule="auto" w:line="288"/>
            </w:pPr>
            <w:r>
              <w:rPr>
                <w:rFonts w:ascii="Times New Roman" w:hAnsi="Times New Roman" w:eastAsia="宋体"/>
                <w:b w:val="0"/>
                <w:sz w:val="21"/>
              </w:rPr>
              <w:t>77.2%</w:t>
            </w:r>
          </w:p>
        </w:tc>
      </w:tr>
    </w:tbl>
    <w:p/>
    <w:p>
      <w:pPr>
        <w:spacing w:before="0" w:after="80" w:lineRule="auto" w:line="324"/>
      </w:pPr>
      <w:r>
        <w:rPr>
          <w:rFonts w:ascii="Times New Roman" w:hAnsi="Times New Roman" w:eastAsia="宋体"/>
          <w:b/>
          <w:color w:val="3F3F3F"/>
          <w:sz w:val="24"/>
        </w:rPr>
        <w:t>结果怎么读：</w:t>
      </w:r>
      <w:r>
        <w:rPr>
          <w:rFonts w:ascii="Times New Roman" w:hAnsi="Times New Roman" w:eastAsia="宋体"/>
          <w:b w:val="0"/>
          <w:sz w:val="24"/>
        </w:rPr>
        <w:t>提取后的决策树不是勉强接近 QMIX，而是直接把胜率从 77.2% 提高到 88.4%。作者认为这可能是重采样和权重设置削弱了噪声样本，从而让树更聚焦于有效动作。</w:t>
      </w:r>
    </w:p>
    <w:p>
      <w:pPr>
        <w:spacing w:before="0" w:after="80" w:lineRule="auto" w:line="324"/>
      </w:pPr>
      <w:r>
        <w:rPr>
          <w:rFonts w:ascii="Times New Roman" w:hAnsi="Times New Roman" w:eastAsia="宋体"/>
          <w:b/>
          <w:color w:val="3F3F3F"/>
          <w:sz w:val="24"/>
        </w:rPr>
        <w:t>策略行为层面的发现：</w:t>
      </w:r>
      <w:r>
        <w:rPr>
          <w:rFonts w:ascii="Times New Roman" w:hAnsi="Times New Roman" w:eastAsia="宋体"/>
          <w:b w:val="0"/>
          <w:sz w:val="24"/>
        </w:rPr>
        <w:t>图表显示，决策树在尽可能减少自身受损的前提下提高了胜率，并倾向于优先击落高能战机。这说明它不只是随机变强，而是形成了更清晰的目标优先级。</w:t>
      </w:r>
    </w:p>
    <w:p>
      <w:pPr>
        <w:spacing w:before="0" w:after="80" w:lineRule="auto" w:line="324"/>
      </w:pPr>
      <w:r>
        <w:rPr>
          <w:rFonts w:ascii="Times New Roman" w:hAnsi="Times New Roman" w:eastAsia="宋体"/>
          <w:b/>
          <w:color w:val="3F3F3F"/>
          <w:sz w:val="24"/>
        </w:rPr>
        <w:t>解释性层面的发现：</w:t>
      </w:r>
      <w:r>
        <w:rPr>
          <w:rFonts w:ascii="Times New Roman" w:hAnsi="Times New Roman" w:eastAsia="宋体"/>
          <w:b w:val="0"/>
          <w:sz w:val="24"/>
        </w:rPr>
        <w:t>作者从这棵树中提取出 11 条原始规则，再进一步压缩成 8 条较精炼的策略规则，例如：攻击优势弱且决策次数少时先不攻击；攻击优势强且四号目标相对更合适时优先攻击四号；若上一次已经攻击特定目标，则可能延续或转火。</w:t>
      </w:r>
    </w:p>
    <w:p>
      <w:pPr>
        <w:pStyle w:val="Heading2"/>
      </w:pPr>
      <w:r>
        <w:rPr>
          <w:rFonts w:ascii="Times New Roman" w:hAnsi="Times New Roman" w:eastAsia="宋体"/>
          <w:b/>
          <w:color w:val="2F5496"/>
          <w:sz w:val="26"/>
        </w:rPr>
        <w:t>4.4.4 实验二：蓝方多方向突击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fill="FCE4D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模型</w:t>
            </w:r>
          </w:p>
        </w:tc>
        <w:tc>
          <w:tcPr>
            <w:tcW w:type="dxa" w:w="1904"/>
            <w:shd w:fill="FCE4D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胜局数</w:t>
            </w:r>
          </w:p>
        </w:tc>
        <w:tc>
          <w:tcPr>
            <w:tcW w:type="dxa" w:w="1904"/>
            <w:shd w:fill="FCE4D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平局数</w:t>
            </w:r>
          </w:p>
        </w:tc>
        <w:tc>
          <w:tcPr>
            <w:tcW w:type="dxa" w:w="1904"/>
            <w:shd w:fill="FCE4D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败局数</w:t>
            </w:r>
          </w:p>
        </w:tc>
        <w:tc>
          <w:tcPr>
            <w:tcW w:type="dxa" w:w="1904"/>
            <w:shd w:fill="FCE4D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胜率</w:t>
            </w:r>
          </w:p>
        </w:tc>
      </w:tr>
      <w:tr>
        <w:tc>
          <w:tcPr>
            <w:tcW w:type="dxa" w:w="1904"/>
          </w:tcPr>
          <w:p>
            <w:pPr>
              <w:spacing w:before="0" w:after="40" w:lineRule="auto" w:line="288"/>
            </w:pPr>
            <w:r>
              <w:rPr>
                <w:rFonts w:ascii="Times New Roman" w:hAnsi="Times New Roman" w:eastAsia="宋体"/>
                <w:b w:val="0"/>
                <w:sz w:val="21"/>
              </w:rPr>
              <w:t>决策树</w:t>
            </w:r>
          </w:p>
        </w:tc>
        <w:tc>
          <w:tcPr>
            <w:tcW w:type="dxa" w:w="1904"/>
          </w:tcPr>
          <w:p>
            <w:pPr>
              <w:spacing w:before="0" w:after="40" w:lineRule="auto" w:line="288"/>
            </w:pPr>
            <w:r>
              <w:rPr>
                <w:rFonts w:ascii="Times New Roman" w:hAnsi="Times New Roman" w:eastAsia="宋体"/>
                <w:b w:val="0"/>
                <w:sz w:val="21"/>
              </w:rPr>
              <w:t>988</w:t>
            </w:r>
          </w:p>
        </w:tc>
        <w:tc>
          <w:tcPr>
            <w:tcW w:type="dxa" w:w="1904"/>
          </w:tcPr>
          <w:p>
            <w:pPr>
              <w:spacing w:before="0" w:after="40" w:lineRule="auto" w:line="288"/>
            </w:pPr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904"/>
          </w:tcPr>
          <w:p>
            <w:pPr>
              <w:spacing w:before="0" w:after="40" w:lineRule="auto" w:line="288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904"/>
          </w:tcPr>
          <w:p>
            <w:pPr>
              <w:spacing w:before="0" w:after="40" w:lineRule="auto" w:line="288"/>
            </w:pPr>
            <w:r>
              <w:rPr>
                <w:rFonts w:ascii="Times New Roman" w:hAnsi="Times New Roman" w:eastAsia="宋体"/>
                <w:b w:val="0"/>
                <w:sz w:val="21"/>
              </w:rPr>
              <w:t>98.8%</w:t>
            </w:r>
          </w:p>
        </w:tc>
      </w:tr>
      <w:tr>
        <w:tc>
          <w:tcPr>
            <w:tcW w:type="dxa" w:w="1904"/>
          </w:tcPr>
          <w:p>
            <w:pPr>
              <w:spacing w:before="0" w:after="40" w:lineRule="auto" w:line="288"/>
            </w:pPr>
            <w:r>
              <w:rPr>
                <w:rFonts w:ascii="Times New Roman" w:hAnsi="Times New Roman" w:eastAsia="宋体"/>
                <w:b w:val="0"/>
                <w:sz w:val="21"/>
              </w:rPr>
              <w:t>QMIX</w:t>
            </w:r>
          </w:p>
        </w:tc>
        <w:tc>
          <w:tcPr>
            <w:tcW w:type="dxa" w:w="1904"/>
          </w:tcPr>
          <w:p>
            <w:pPr>
              <w:spacing w:before="0" w:after="40" w:lineRule="auto" w:line="288"/>
            </w:pPr>
            <w:r>
              <w:rPr>
                <w:rFonts w:ascii="Times New Roman" w:hAnsi="Times New Roman" w:eastAsia="宋体"/>
                <w:b w:val="0"/>
                <w:sz w:val="21"/>
              </w:rPr>
              <w:t>919</w:t>
            </w:r>
          </w:p>
        </w:tc>
        <w:tc>
          <w:tcPr>
            <w:tcW w:type="dxa" w:w="1904"/>
          </w:tcPr>
          <w:p>
            <w:pPr>
              <w:spacing w:before="0" w:after="40" w:lineRule="auto" w:line="288"/>
            </w:pPr>
            <w:r>
              <w:rPr>
                <w:rFonts w:ascii="Times New Roman" w:hAnsi="Times New Roman" w:eastAsia="宋体"/>
                <w:b w:val="0"/>
                <w:sz w:val="21"/>
              </w:rPr>
              <w:t>23</w:t>
            </w:r>
          </w:p>
        </w:tc>
        <w:tc>
          <w:tcPr>
            <w:tcW w:type="dxa" w:w="1904"/>
          </w:tcPr>
          <w:p>
            <w:pPr>
              <w:spacing w:before="0" w:after="40" w:lineRule="auto" w:line="288"/>
            </w:pPr>
            <w:r>
              <w:rPr>
                <w:rFonts w:ascii="Times New Roman" w:hAnsi="Times New Roman" w:eastAsia="宋体"/>
                <w:b w:val="0"/>
                <w:sz w:val="21"/>
              </w:rPr>
              <w:t>58</w:t>
            </w:r>
          </w:p>
        </w:tc>
        <w:tc>
          <w:tcPr>
            <w:tcW w:type="dxa" w:w="1904"/>
          </w:tcPr>
          <w:p>
            <w:pPr>
              <w:spacing w:before="0" w:after="40" w:lineRule="auto" w:line="288"/>
            </w:pPr>
            <w:r>
              <w:rPr>
                <w:rFonts w:ascii="Times New Roman" w:hAnsi="Times New Roman" w:eastAsia="宋体"/>
                <w:b w:val="0"/>
                <w:sz w:val="21"/>
              </w:rPr>
              <w:t>91.9%</w:t>
            </w:r>
          </w:p>
        </w:tc>
      </w:tr>
    </w:tbl>
    <w:p/>
    <w:p>
      <w:pPr>
        <w:spacing w:before="0" w:after="80" w:lineRule="auto" w:line="324"/>
      </w:pPr>
      <w:r>
        <w:rPr>
          <w:rFonts w:ascii="Times New Roman" w:hAnsi="Times New Roman" w:eastAsia="宋体"/>
          <w:b/>
          <w:color w:val="3F3F3F"/>
          <w:sz w:val="24"/>
        </w:rPr>
        <w:t>结果怎么读：</w:t>
      </w:r>
      <w:r>
        <w:rPr>
          <w:rFonts w:ascii="Times New Roman" w:hAnsi="Times New Roman" w:eastAsia="宋体"/>
          <w:b w:val="0"/>
          <w:sz w:val="24"/>
        </w:rPr>
        <w:t>在更复杂的多方向突击环境中，决策树依然优于 QMIX。这里的提升幅度没有实验一那样直观地体现为简单规则，但说明该方法在复杂环境下也能维持强效果。</w:t>
      </w:r>
    </w:p>
    <w:p>
      <w:pPr>
        <w:spacing w:before="0" w:after="80" w:lineRule="auto" w:line="324"/>
      </w:pPr>
      <w:r>
        <w:rPr>
          <w:rFonts w:ascii="Times New Roman" w:hAnsi="Times New Roman" w:eastAsia="宋体"/>
          <w:b/>
          <w:color w:val="3F3F3F"/>
          <w:sz w:val="24"/>
        </w:rPr>
        <w:t>与实验一的差别：</w:t>
      </w:r>
      <w:r>
        <w:rPr>
          <w:rFonts w:ascii="Times New Roman" w:hAnsi="Times New Roman" w:eastAsia="宋体"/>
          <w:b w:val="0"/>
          <w:sz w:val="24"/>
        </w:rPr>
        <w:t>实验二中，决策树叶子节点标签更丰富，说明模型执行的动作类型更多，策略也更复杂。换句话说，环境越复杂，规则结构也会越复杂，不会总是得到一个极简的规则表。</w:t>
      </w:r>
    </w:p>
    <w:p>
      <w:pPr>
        <w:spacing w:before="0" w:after="80" w:lineRule="auto" w:line="324"/>
      </w:pPr>
      <w:r>
        <w:rPr>
          <w:rFonts w:ascii="Times New Roman" w:hAnsi="Times New Roman" w:eastAsia="宋体"/>
          <w:b/>
          <w:color w:val="3F3F3F"/>
          <w:sz w:val="24"/>
        </w:rPr>
        <w:t>你该学到什么：</w:t>
      </w:r>
      <w:r>
        <w:rPr>
          <w:rFonts w:ascii="Times New Roman" w:hAnsi="Times New Roman" w:eastAsia="宋体"/>
          <w:b w:val="0"/>
          <w:sz w:val="24"/>
        </w:rPr>
        <w:t>可解释性不等于规则越少越好，而是规则是否能真实反映有效决策。在复杂环境里，解释模型也可能必须更复杂，关键是这种复杂仍然是可读、可分析的。</w:t>
      </w:r>
    </w:p>
    <w:p>
      <w:pPr>
        <w:pStyle w:val="Heading1"/>
      </w:pPr>
      <w:r>
        <w:rPr>
          <w:rFonts w:ascii="Times New Roman" w:hAnsi="Times New Roman" w:eastAsia="宋体"/>
          <w:b/>
          <w:color w:val="1F4E79"/>
          <w:sz w:val="30"/>
        </w:rPr>
        <w:t>4.5 本章小结：这一章到底贡献了什么</w:t>
      </w:r>
    </w:p>
    <w:p>
      <w:pPr>
        <w:spacing w:before="0" w:after="80" w:lineRule="auto" w:line="324"/>
      </w:pPr>
      <w:r>
        <w:rPr>
          <w:rFonts w:ascii="Times New Roman" w:hAnsi="Times New Roman" w:eastAsia="宋体"/>
          <w:b/>
          <w:color w:val="3F3F3F"/>
          <w:sz w:val="24"/>
        </w:rPr>
        <w:t>作者自己的总结：</w:t>
      </w:r>
      <w:r>
        <w:rPr>
          <w:rFonts w:ascii="Times New Roman" w:hAnsi="Times New Roman" w:eastAsia="宋体"/>
          <w:b w:val="0"/>
          <w:sz w:val="24"/>
        </w:rPr>
        <w:t>本章提出了一种基于规则的策略提取与解释强化学习模型的方法，通过 QMIX + VIPER + 决策树规则提取，把强化学习策略转成可解释规则，并在两种典型场景中验证了其效果与解释性。</w:t>
      </w:r>
    </w:p>
    <w:p>
      <w:pPr>
        <w:spacing w:before="0" w:after="80" w:lineRule="auto" w:line="324"/>
      </w:pPr>
      <w:r>
        <w:rPr>
          <w:rFonts w:ascii="Times New Roman" w:hAnsi="Times New Roman" w:eastAsia="宋体"/>
          <w:b/>
          <w:color w:val="3F3F3F"/>
          <w:sz w:val="24"/>
        </w:rPr>
        <w:t>我替你总结成三句话：</w:t>
      </w:r>
      <w:r>
        <w:rPr>
          <w:rFonts w:ascii="Times New Roman" w:hAnsi="Times New Roman" w:eastAsia="宋体"/>
          <w:b w:val="0"/>
          <w:sz w:val="24"/>
        </w:rPr>
        <w:t>第一，这一章证明了黑盒强化学习策略可以被结构化提取；第二，提取后的决策树不仅能解释，而且在实验里还可能更强；第三，这些规则可以进一步沉淀成策略库，为后续第五章的决策树演化做铺垫。</w:t>
      </w:r>
    </w:p>
    <w:p>
      <w:pPr>
        <w:spacing w:before="0" w:after="80" w:lineRule="auto" w:line="324"/>
      </w:pPr>
      <w:r>
        <w:rPr>
          <w:rFonts w:ascii="Times New Roman" w:hAnsi="Times New Roman" w:eastAsia="宋体"/>
          <w:b/>
          <w:color w:val="3F3F3F"/>
          <w:sz w:val="24"/>
        </w:rPr>
        <w:t>这一章的边界：</w:t>
      </w:r>
      <w:r>
        <w:rPr>
          <w:rFonts w:ascii="Times New Roman" w:hAnsi="Times New Roman" w:eastAsia="宋体"/>
          <w:b w:val="0"/>
          <w:sz w:val="24"/>
        </w:rPr>
        <w:t>作者也承认，规则仍然强依赖当前实验环境。换场景后规则能否继续成立、决策树会不会爆炸式变大、是否还能稳定提取出高质量规则，这些问题都没有完全解决。</w:t>
      </w:r>
    </w:p>
    <w:p>
      <w:pPr>
        <w:pStyle w:val="Heading1"/>
      </w:pPr>
      <w:r>
        <w:rPr>
          <w:rFonts w:ascii="Times New Roman" w:hAnsi="Times New Roman" w:eastAsia="宋体"/>
          <w:b/>
          <w:color w:val="1F4E79"/>
          <w:sz w:val="30"/>
        </w:rPr>
        <w:t>最后，作为大三学生你应该怎样复述第四章</w:t>
      </w:r>
    </w:p>
    <w:p>
      <w:pPr>
        <w:pStyle w:val="ListBullet"/>
        <w:spacing w:before="0" w:after="80" w:lineRule="auto" w:line="312"/>
      </w:pPr>
      <w:r>
        <w:rPr>
          <w:rFonts w:ascii="Times New Roman" w:hAnsi="Times New Roman" w:eastAsia="宋体"/>
          <w:b w:val="0"/>
          <w:sz w:val="24"/>
        </w:rPr>
        <w:t>第四章的目标是提升强化学习策略的可解释性，而不是重新训练一个全新最强模型。</w:t>
      </w:r>
    </w:p>
    <w:p>
      <w:pPr>
        <w:pStyle w:val="ListBullet"/>
        <w:spacing w:before="0" w:after="80" w:lineRule="auto" w:line="312"/>
      </w:pPr>
      <w:r>
        <w:rPr>
          <w:rFonts w:ascii="Times New Roman" w:hAnsi="Times New Roman" w:eastAsia="宋体"/>
          <w:b w:val="0"/>
          <w:sz w:val="24"/>
        </w:rPr>
        <w:t>作者的方法路线是：QMIX 生成专家策略数据，VIPER 训练 CART 决策树，最后从树中提取并合并规则。</w:t>
      </w:r>
    </w:p>
    <w:p>
      <w:pPr>
        <w:pStyle w:val="ListBullet"/>
        <w:spacing w:before="0" w:after="80" w:lineRule="auto" w:line="312"/>
      </w:pPr>
      <w:r>
        <w:rPr>
          <w:rFonts w:ascii="Times New Roman" w:hAnsi="Times New Roman" w:eastAsia="宋体"/>
          <w:b w:val="0"/>
          <w:sz w:val="24"/>
        </w:rPr>
        <w:t>实验表明，在正面攻击和多方向突击两种环境下，提取后的决策树胜率都高于原 QMIX。</w:t>
      </w:r>
    </w:p>
    <w:p>
      <w:pPr>
        <w:pStyle w:val="ListBullet"/>
        <w:spacing w:before="0" w:after="80" w:lineRule="auto" w:line="312"/>
      </w:pPr>
      <w:r>
        <w:rPr>
          <w:rFonts w:ascii="Times New Roman" w:hAnsi="Times New Roman" w:eastAsia="宋体"/>
          <w:b w:val="0"/>
          <w:sz w:val="24"/>
        </w:rPr>
        <w:t>规则提取的真正价值，在于把原本难以讨论的黑盒决策过程，变成了可以读、可以审查、可以沉淀的策略知识。</w:t>
      </w:r>
    </w:p>
    <w:p>
      <w:pPr>
        <w:pStyle w:val="ListBullet"/>
        <w:spacing w:before="0" w:after="80" w:lineRule="auto" w:line="312"/>
      </w:pPr>
      <w:r>
        <w:rPr>
          <w:rFonts w:ascii="Times New Roman" w:hAnsi="Times New Roman" w:eastAsia="宋体"/>
          <w:b w:val="0"/>
          <w:sz w:val="24"/>
        </w:rPr>
        <w:t>这一章为第五章的决策树演化提供了“专家决策树”和初始规则库基础。</w:t>
      </w:r>
    </w:p>
    <w:p>
      <w:pPr>
        <w:spacing w:before="0" w:after="120" w:lineRule="auto" w:line="348"/>
        <w:ind w:firstLine="420"/>
      </w:pPr>
      <w:r>
        <w:rPr>
          <w:rFonts w:ascii="Times New Roman" w:hAnsi="Times New Roman" w:eastAsia="宋体"/>
          <w:b w:val="0"/>
          <w:sz w:val="24"/>
        </w:rPr>
        <w:t>如果你在答辩或课堂汇报里只剩 30 秒，最稳的总结就是：第四章做的是把强化学习黑盒策略转译成决策树和 IF-THEN 规则，并且在保持甚至提升对抗效果的同时，把策略知识显性化了。</w:t>
      </w:r>
    </w:p>
    <w:sectPr w:rsidR="00FC693F" w:rsidRPr="0006063C" w:rsidSect="00034616">
      <w:pgSz w:w="12240" w:h="15840"/>
      <w:pgMar w:top="1304" w:right="1304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