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Practical Connection Assignment: Algorithms and Data Structures in IT Infrastructure Leadership</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Practical Connection Assignment</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July 18, 2026</w:t>
      </w:r>
    </w:p>
    <w:p>
      <w:r>
        <w:br w:type="page"/>
      </w:r>
    </w:p>
    <w:p>
      <w:pPr>
        <w:spacing w:before="240" w:after="120"/>
        <w:ind w:firstLine="0"/>
      </w:pPr>
      <w:r>
        <w:rPr>
          <w:rFonts w:ascii="Times New Roman" w:hAnsi="Times New Roman"/>
          <w:b/>
          <w:i w:val="0"/>
          <w:sz w:val="24"/>
        </w:rPr>
        <w:t>Practical Connection Assignment</w:t>
      </w:r>
    </w:p>
    <w:p>
      <w:pPr>
        <w:spacing w:line="480" w:lineRule="exact" w:before="0" w:after="0"/>
        <w:ind w:firstLine="720"/>
      </w:pPr>
      <w:r>
        <w:rPr>
          <w:rFonts w:ascii="Times New Roman" w:hAnsi="Times New Roman"/>
          <w:b w:val="0"/>
          <w:i w:val="0"/>
          <w:sz w:val="24"/>
        </w:rPr>
        <w:t>As the sole IT owner for a multi-site retail and distribution organization, I rarely write algorithms in the formal sense this course teaches them, but I make algorithmic decisions constantly: how to break an unmanageable migration into solvable pieces, how to key and index records so a lookup does not degrade as a company grows, and how to reason about whether a system will still perform once it is carrying real production volume instead of a demo dataset. This course gave that instinct a formal vocabulary, and the concepts have mapped onto my current work leading the ERP and e-commerce platform migration at TWP Clothing far more directly than I expected going in.</w:t>
      </w:r>
    </w:p>
    <w:p>
      <w:pPr>
        <w:spacing w:line="480" w:lineRule="exact" w:before="0" w:after="0"/>
        <w:ind w:firstLine="720"/>
      </w:pPr>
      <w:r>
        <w:rPr>
          <w:rFonts w:ascii="Times New Roman" w:hAnsi="Times New Roman"/>
          <w:b w:val="0"/>
          <w:i w:val="0"/>
          <w:sz w:val="24"/>
        </w:rPr>
        <w:t>The clearest connection has been divide-and-conquer as a planning strategy, not just a sorting technique. Migrating a retail and distribution company from RLM to BlueCherry ERP touches finance, warehouse operations, and ten-plus retail locations at once, and attempting that as one monolithic cutover invites exactly the kind of unmanageable, error-prone process the course's divide-and-conquer unit warns against when a problem is solved without decomposition. Instead, I split the migration the way a divide-and-conquer algorithm splits an input: by data domain first (SKUs, vendors, customers, general ledger), then recursively within each domain by location, validating and reconciling each subset independently before merging it into the combined production dataset. That structure did not just make the project easier to schedule; it made failures local and diagnosable instead of cascading across the whole migration, which is the same reason the merge step in a divide-and-conquer algorithm only ever combines two already-correct subsolutions rather than re-deriving correctness from scratch.</w:t>
      </w:r>
    </w:p>
    <w:p>
      <w:pPr>
        <w:spacing w:line="480" w:lineRule="exact" w:before="0" w:after="0"/>
        <w:ind w:firstLine="720"/>
      </w:pPr>
      <w:r>
        <w:rPr>
          <w:rFonts w:ascii="Times New Roman" w:hAnsi="Times New Roman"/>
          <w:b w:val="0"/>
          <w:i w:val="0"/>
          <w:sz w:val="24"/>
        </w:rPr>
        <w:t>Hashing and collision handling turned out to be the most literal translation from coursework to job. Every record migrated from RLM into BlueCherry, and every product now shared with Shopify as part of the parallel e-commerce integration, needs a key that is unique across systems that were never designed to agree with each other. That is a hash table problem in practice: two legacy identifiers colliding on the same new key is functionally identical to two keys hashing to the same slot, and the fix is the same principle the course covers, a keying scheme designed for even, collision-resistant distribution rather than one that happens to work on the records tested first (Cormen et al., 2022). The load-factor intuition carried over as well: I sized the new product-catalog and customer tables for the organization's growth trajectory rather than its current record count, because a structure that performs well near capacity and degrades sharply past it, the behavior the course quantifies for open-addressed tables as the load factor approaches one, is a much worse operational risk than a table that is modestly over-provisioned from day one.</w:t>
      </w:r>
    </w:p>
    <w:p>
      <w:pPr>
        <w:spacing w:line="480" w:lineRule="exact" w:before="0" w:after="0"/>
        <w:ind w:firstLine="720"/>
      </w:pPr>
      <w:r>
        <w:rPr>
          <w:rFonts w:ascii="Times New Roman" w:hAnsi="Times New Roman"/>
          <w:b w:val="0"/>
          <w:i w:val="0"/>
          <w:sz w:val="24"/>
        </w:rPr>
        <w:t>Asymptotic reasoning has also changed how I evaluate vendor systems and internal tools rather than just trusting a demo. When comparing how BlueCherry and Shopify handle catalog search and inventory lookups at scale, I now ask what the underlying access pattern is doing as record counts grow, not just whether it feels responsive against a small test dataset, because a linear scan and an indexed lookup look identical at a hundred records and diverge sharply at the tens of thousands a multi-store retailer accumulates (Sedgewick &amp; Wayne, 2011). The same lens applies to the internal .NET tools and dashboards I build for data collection and reporting: choosing a hash map for O(1) key lookups versus a list requiring a linear search, or a priority structure for surfacing the highest-priority support tickets or fulfillment orders instead of rescanning a queue in order, are decisions I now make deliberately rather than by habit, because the course gave me the language to compare the alternatives before committing to one.</w:t>
      </w:r>
    </w:p>
    <w:p>
      <w:pPr>
        <w:spacing w:line="480" w:lineRule="exact" w:before="0" w:after="0"/>
        <w:ind w:firstLine="720"/>
      </w:pPr>
      <w:r>
        <w:rPr>
          <w:rFonts w:ascii="Times New Roman" w:hAnsi="Times New Roman"/>
          <w:b w:val="0"/>
          <w:i w:val="0"/>
          <w:sz w:val="24"/>
        </w:rPr>
        <w:t>None of this makes me a working algorithms researcher, but it has made me a more deliberate systems designer. The organizations I support do not need me to prove asymptotic bounds; they need the ERP migration to hold up under real transaction volume, the product catalog to stay fast as it grows, and the internal tools I build to scale past the pilot stage without a rewrite. This course gave me the framework to reason about those outcomes in advance instead of discovering them under production load, which is the most practical return I could have asked for from a theory-heavy course.</w:t>
      </w:r>
    </w:p>
    <w:p>
      <w:r>
        <w:br w:type="page"/>
      </w:r>
    </w:p>
    <w:p>
      <w:pPr>
        <w:spacing w:before="240" w:after="120"/>
        <w:ind w:firstLine="0"/>
      </w:pPr>
      <w:r>
        <w:rPr>
          <w:rFonts w:ascii="Times New Roman" w:hAnsi="Times New Roman"/>
          <w:b/>
          <w:i w:val="0"/>
          <w:sz w:val="24"/>
        </w:rPr>
        <w:t>References</w:t>
      </w:r>
    </w:p>
    <w:p>
      <w:pPr>
        <w:spacing w:line="480" w:lineRule="exact"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after="0"/>
        <w:ind w:left="720" w:hanging="720"/>
      </w:pPr>
      <w:r>
        <w:rPr>
          <w:rFonts w:ascii="Times New Roman" w:hAnsi="Times New Roman"/>
          <w:b w:val="0"/>
          <w:i w:val="0"/>
          <w:sz w:val="24"/>
        </w:rPr>
        <w:t>Sedgewick, R., &amp; Wayne, K. (2011). Algorithms (4th ed.). Addison-Wesley Professional.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