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i w:val="0"/>
          <w:sz w:val="24"/>
        </w:rPr>
        <w:t>Developing and Optimizing Data Structures for an E-Commerce Order Platform in Python</w:t>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t>Mahesh Gaire</w:t>
      </w:r>
    </w:p>
    <w:p>
      <w:pPr>
        <w:spacing w:line="480" w:lineRule="exact"/>
        <w:ind w:firstLine="0"/>
        <w:jc w:val="center"/>
      </w:pPr>
      <w:r>
        <w:rPr>
          <w:rFonts w:ascii="Times New Roman" w:hAnsi="Times New Roman"/>
          <w:b w:val="0"/>
          <w:i w:val="0"/>
          <w:sz w:val="24"/>
        </w:rPr>
        <w:t>Basanta Ghorashainee</w:t>
      </w:r>
    </w:p>
    <w:p>
      <w:pPr>
        <w:spacing w:line="480" w:lineRule="exact"/>
        <w:ind w:firstLine="0"/>
        <w:jc w:val="center"/>
      </w:pPr>
      <w:r>
        <w:rPr>
          <w:rFonts w:ascii="Times New Roman" w:hAnsi="Times New Roman"/>
          <w:b w:val="0"/>
          <w:i w:val="0"/>
          <w:sz w:val="24"/>
        </w:rPr>
        <w:t>Sai Prasanth Chowdary Moparthi</w:t>
      </w:r>
    </w:p>
    <w:p>
      <w:pPr>
        <w:spacing w:line="480" w:lineRule="exact"/>
        <w:ind w:firstLine="0"/>
        <w:jc w:val="center"/>
      </w:pPr>
      <w:r>
        <w:rPr>
          <w:rFonts w:ascii="Times New Roman" w:hAnsi="Times New Roman"/>
          <w:b w:val="0"/>
          <w:i w:val="0"/>
          <w:sz w:val="24"/>
        </w:rPr>
        <w:t>Mayurkumar Bhavikkumar Patel</w:t>
      </w:r>
    </w:p>
    <w:p>
      <w:pPr>
        <w:spacing w:line="480" w:lineRule="exact"/>
        <w:ind w:firstLine="0"/>
        <w:jc w:val="center"/>
      </w:pPr>
      <w:r>
        <w:rPr>
          <w:rFonts w:ascii="Times New Roman" w:hAnsi="Times New Roman"/>
          <w:b w:val="0"/>
          <w:i w:val="0"/>
          <w:sz w:val="24"/>
        </w:rPr>
        <w:t>Xhon Pelushi</w:t>
      </w:r>
    </w:p>
    <w:p>
      <w:pPr>
        <w:spacing w:line="480" w:lineRule="exact"/>
        <w:ind w:firstLine="0"/>
        <w:jc w:val="center"/>
      </w:pPr>
      <w:r>
        <w:rPr>
          <w:rFonts w:ascii="Times New Roman" w:hAnsi="Times New Roman"/>
          <w:b w:val="0"/>
          <w:i w:val="0"/>
          <w:sz w:val="24"/>
        </w:rPr>
        <w:t>University of the Cumberlands</w:t>
      </w:r>
    </w:p>
    <w:p>
      <w:pPr>
        <w:spacing w:line="480" w:lineRule="exact"/>
        <w:ind w:firstLine="0"/>
        <w:jc w:val="center"/>
      </w:pPr>
      <w:r>
        <w:rPr>
          <w:rFonts w:ascii="Times New Roman" w:hAnsi="Times New Roman"/>
          <w:b w:val="0"/>
          <w:i w:val="0"/>
          <w:sz w:val="24"/>
        </w:rPr>
        <w:t>MSCS-532-M20: Algorithms and Data Structures</w:t>
      </w:r>
    </w:p>
    <w:p>
      <w:pPr>
        <w:spacing w:line="480" w:lineRule="exact"/>
        <w:ind w:firstLine="0"/>
        <w:jc w:val="center"/>
      </w:pPr>
      <w:r>
        <w:rPr>
          <w:rFonts w:ascii="Times New Roman" w:hAnsi="Times New Roman"/>
          <w:b w:val="0"/>
          <w:i w:val="0"/>
          <w:sz w:val="24"/>
        </w:rPr>
        <w:t>Course Project — Final Report</w:t>
      </w:r>
    </w:p>
    <w:p>
      <w:pPr>
        <w:spacing w:line="480" w:lineRule="exact"/>
        <w:ind w:firstLine="0"/>
        <w:jc w:val="center"/>
      </w:pPr>
      <w:r>
        <w:rPr>
          <w:rFonts w:ascii="Times New Roman" w:hAnsi="Times New Roman"/>
          <w:b w:val="0"/>
          <w:i w:val="0"/>
          <w:sz w:val="24"/>
        </w:rPr>
        <w:t>Dr. Michael Solomon</w:t>
      </w:r>
    </w:p>
    <w:p>
      <w:pPr>
        <w:spacing w:line="480" w:lineRule="exact"/>
        <w:ind w:firstLine="0"/>
        <w:jc w:val="center"/>
      </w:pPr>
      <w:r>
        <w:rPr>
          <w:rFonts w:ascii="Times New Roman" w:hAnsi="Times New Roman"/>
          <w:b w:val="0"/>
          <w:i w:val="0"/>
          <w:sz w:val="24"/>
        </w:rPr>
        <w:t>July 17, 2026</w:t>
      </w:r>
    </w:p>
    <w:p>
      <w:r>
        <w:br w:type="page"/>
      </w:r>
    </w:p>
    <w:p>
      <w:pPr>
        <w:spacing w:after="0"/>
        <w:ind w:firstLine="0"/>
        <w:jc w:val="center"/>
      </w:pPr>
      <w:r>
        <w:rPr>
          <w:rFonts w:ascii="Times New Roman" w:hAnsi="Times New Roman"/>
          <w:b/>
          <w:i w:val="0"/>
          <w:sz w:val="24"/>
        </w:rPr>
        <w:t>Abstract</w:t>
      </w:r>
    </w:p>
    <w:p>
      <w:pPr>
        <w:spacing w:line="480" w:lineRule="exact" w:before="0" w:after="0"/>
      </w:pPr>
      <w:r>
        <w:rPr>
          <w:rFonts w:ascii="Times New Roman" w:hAnsi="Times New Roman"/>
          <w:b w:val="0"/>
          <w:i w:val="0"/>
          <w:sz w:val="24"/>
        </w:rPr>
        <w:t>This project designs, implements, tests, and optimizes the data-structure core of an e-commerce order platform in pure Python. Six structures built from scratch serve the six workloads of a shopping session: a separate-chaining hash table is the catalog of record, a trie answers autocomplete prefixes, a binary search tree serves price-band filters, a weighted adjacency-list graph ranks co-purchased products, a binary max-heap produces best-seller, low-stock, and most-returned dashboards, and a circular-buffer queue carries orders through fulfilment. A facade class integrates them under one rule: product records live only in the catalog, and every other structure resolves SKU keys through it in constant time. A dependency-free browser portal renders the running system live, one color-coded panel per structure. Forty-two unit tests establish correctness, and a benchmark suite scales the system to one hundred thousand products and twenty thousand orders. Measured against naive baselines, dynamic resizing keeps catalog lookups flat near two microseconds where a fixed table degrades five-fold; the trie answers prefix queries 45 times faster than a linear scan; the pruned tree serves range queries 5.7 times faster than scanning; and the pure-Python heap, despite its superior asymptotics, only ties Python's C-implemented sort — a measured lesson in constant factors. Stress tests confirm the tree's predicted collapse under monotone insertion and the pipeline's atomic rejection of orders once stock exhausts. The integrated system sustains roughly 44 thousand orders per second within 65 megabytes.</w:t>
      </w:r>
    </w:p>
    <w:p>
      <w:r>
        <w:br w:type="page"/>
      </w:r>
    </w:p>
    <w:p>
      <w:pPr>
        <w:spacing w:before="240" w:after="120"/>
        <w:ind w:firstLine="0"/>
      </w:pPr>
      <w:r>
        <w:rPr>
          <w:rFonts w:ascii="Times New Roman" w:hAnsi="Times New Roman"/>
          <w:b/>
          <w:i w:val="0"/>
          <w:sz w:val="24"/>
        </w:rPr>
        <w:t>Introduction</w:t>
      </w:r>
    </w:p>
    <w:p>
      <w:pPr>
        <w:spacing w:line="480" w:lineRule="exact" w:before="0" w:after="0"/>
        <w:ind w:firstLine="720"/>
      </w:pPr>
      <w:r>
        <w:rPr>
          <w:rFonts w:ascii="Times New Roman" w:hAnsi="Times New Roman"/>
          <w:b w:val="0"/>
          <w:i w:val="0"/>
          <w:sz w:val="24"/>
        </w:rPr>
        <w:t>Every page of an online store is a data-structure benchmark in disguise. When a shopper types three characters into a search box, filters the results to a price band, reads a "customers also bought" panel, and checks out, the platform behind the page has answered a prefix query, an ordered range query, a graph-neighborhood ranking, and several exact-key lookups, and has then mutated stock levels and enqueued fulfilment work — all within a latency budget set by the shopper's patience. This project, set in the e-commerce domain in which members of our group work professionally, asks the central question of this course at practical scale: which data structure earns its place for each of those workloads, and what does it cost when the wrong one is chosen?</w:t>
      </w:r>
    </w:p>
    <w:p>
      <w:pPr>
        <w:spacing w:line="480" w:lineRule="exact" w:before="0" w:after="0"/>
        <w:ind w:firstLine="720"/>
      </w:pPr>
      <w:r>
        <w:rPr>
          <w:rFonts w:ascii="Times New Roman" w:hAnsi="Times New Roman"/>
          <w:b w:val="0"/>
          <w:i w:val="0"/>
          <w:sz w:val="24"/>
        </w:rPr>
        <w:t>The project unfolded in three phases, integrated in this report. Phase 1 designed six structures around the customer journey and justified each choice asymptotically. Phase 2 implemented all six from scratch in pure Python — no dict-backed shortcuts for the mechanics under study — wired them into one facade, and proved them correct with forty-two unit tests and a scripted end-to-end demonstration. Phase 3 scaled the system to one hundred thousand products, measured every structure against a naive baseline, and stress-tested the designs at their documented weak points. The complete source code, test suite, benchmark data, and all figures in this report are available at https://github.com/xhon-pelushi/residency.</w:t>
      </w:r>
    </w:p>
    <w:p>
      <w:pPr>
        <w:spacing w:before="240" w:after="120"/>
        <w:ind w:firstLine="0"/>
      </w:pPr>
      <w:r>
        <w:rPr>
          <w:rFonts w:ascii="Times New Roman" w:hAnsi="Times New Roman"/>
          <w:b/>
          <w:i w:val="0"/>
          <w:sz w:val="24"/>
        </w:rPr>
        <w:t>Literature Review</w:t>
      </w:r>
    </w:p>
    <w:p>
      <w:pPr>
        <w:spacing w:line="480" w:lineRule="exact" w:before="0" w:after="0"/>
        <w:ind w:firstLine="720"/>
      </w:pPr>
      <w:r>
        <w:rPr>
          <w:rFonts w:ascii="Times New Roman" w:hAnsi="Times New Roman"/>
          <w:b w:val="0"/>
          <w:i w:val="0"/>
          <w:sz w:val="24"/>
        </w:rPr>
        <w:t>The theoretical foundations of the six structures are classical. Cormen et al. (2022) give the expected O(1) behavior of chained hashing under simple uniform hashing, the O(h + k) bound for range reporting from a binary search tree, and the O(n) bottom-up heap construction this project relies on for its dashboards. Knuth (1998) remains the definitive treatment of the sorting-versus-selection trade-off that motivates answering top-k queries from a heap rather than a full sort, and of the collision phenomena that make hash-table load factors decisive in practice. The trie originates with Fredkin (1960), whose observation — that retrieval cost should depend on the length of the key, not the size of the collection — is precisely the property autocomplete requires. Bayer and McCreight (1972) established the ordered-index tradition from which the price tree descends, and their motivating concern, keeping ordered data efficient as it grows, is this project's Phase 3 in miniature. On the hashing frontier, Pagh and Rodler (2004) showed with cuckoo hashing that worst-case constant lookups are achievable at the cost of occasional expensive rebuilds, a trade this project evaluates and declines for a read-heavy catalog.</w:t>
      </w:r>
    </w:p>
    <w:p>
      <w:pPr>
        <w:spacing w:line="480" w:lineRule="exact" w:before="0" w:after="0"/>
        <w:ind w:firstLine="720"/>
      </w:pPr>
      <w:r>
        <w:rPr>
          <w:rFonts w:ascii="Times New Roman" w:hAnsi="Times New Roman"/>
          <w:b w:val="0"/>
          <w:i w:val="0"/>
          <w:sz w:val="24"/>
        </w:rPr>
        <w:t>The recommendation subsystem draws on the item-to-item collaborative filtering literature. Sarwar et al. (2001) demonstrated that computing similarities between items rather than between users scales with the (smaller and more stable) item population and produces recommendations of comparable quality. Linden et al. (2003) reported the same architecture serving Amazon.com in production, noting that item-to-item tables can be consulted in real time at web scale. Modern surveys such as Zhang et al. (2019) document the field's movement toward learned models, while confirming that co-occurrence structures of the kind built here remain the workhorse baseline against which learned recommenders are judged. This project's weighted co-purchase graph is a faithful small-scale instance of that baseline: it is populated incrementally by the order stream itself and served directly from an adjacency list.</w:t>
      </w:r>
    </w:p>
    <w:p>
      <w:pPr>
        <w:spacing w:before="240" w:after="120"/>
        <w:ind w:firstLine="0"/>
      </w:pPr>
      <w:r>
        <w:rPr>
          <w:rFonts w:ascii="Times New Roman" w:hAnsi="Times New Roman"/>
          <w:b/>
          <w:i w:val="0"/>
          <w:sz w:val="24"/>
        </w:rPr>
        <w:t>Application Context and Requirements</w:t>
      </w:r>
    </w:p>
    <w:p>
      <w:pPr>
        <w:spacing w:line="480" w:lineRule="exact" w:before="0" w:after="0"/>
        <w:ind w:firstLine="720"/>
      </w:pPr>
      <w:r>
        <w:rPr>
          <w:rFonts w:ascii="Times New Roman" w:hAnsi="Times New Roman"/>
          <w:b w:val="0"/>
          <w:i w:val="0"/>
          <w:sz w:val="24"/>
        </w:rPr>
        <w:t>The platform models a mid-sized storefront: on the order of one hundred thousand SKUs, autocomplete on every keystroke, price filtering on every results page, recommendations on every product page, and a continuous order stream whose fulfilment must update stock, sales counts, and recommendation signals. Six workloads with six distinct access patterns follow, summarized in Table 1 with the structure chosen for each. No single container serves all six: a hash table cannot report an ordered range, a sorted structure pays logarithmic or worse insertion for its order, and a graph is the only natural home for pairwise co-purchase signal. The design problem is composition, and the composition rule adopted throughout is a single source of truth: the catalog hash table owns every product record, and the five other structures store only SKU keys, resolved through the catalog in O(1) at query time. Data is never duplicated across indexes and can never disagree between them.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i w:val="0"/>
                <w:sz w:val="20"/>
              </w:rPr>
              <w:t>Customer-journey step</w:t>
            </w:r>
          </w:p>
        </w:tc>
        <w:tc>
          <w:tcPr>
            <w:tcW w:type="dxa" w:w="2340"/>
          </w:tcPr>
          <w:p>
            <w:r>
              <w:rPr>
                <w:rFonts w:ascii="Times New Roman" w:hAnsi="Times New Roman"/>
                <w:b/>
                <w:i w:val="0"/>
                <w:sz w:val="20"/>
              </w:rPr>
              <w:t>Access pattern</w:t>
            </w:r>
          </w:p>
        </w:tc>
        <w:tc>
          <w:tcPr>
            <w:tcW w:type="dxa" w:w="2340"/>
          </w:tcPr>
          <w:p>
            <w:r>
              <w:rPr>
                <w:rFonts w:ascii="Times New Roman" w:hAnsi="Times New Roman"/>
                <w:b/>
                <w:i w:val="0"/>
                <w:sz w:val="20"/>
              </w:rPr>
              <w:t>Structure</w:t>
            </w:r>
          </w:p>
        </w:tc>
        <w:tc>
          <w:tcPr>
            <w:tcW w:type="dxa" w:w="2340"/>
          </w:tcPr>
          <w:p>
            <w:r>
              <w:rPr>
                <w:rFonts w:ascii="Times New Roman" w:hAnsi="Times New Roman"/>
                <w:b/>
                <w:i w:val="0"/>
                <w:sz w:val="20"/>
              </w:rPr>
              <w:t>Core cost</w:t>
            </w:r>
          </w:p>
        </w:tc>
      </w:tr>
      <w:tr>
        <w:tc>
          <w:tcPr>
            <w:tcW w:type="dxa" w:w="2340"/>
          </w:tcPr>
          <w:p>
            <w:r>
              <w:rPr>
                <w:rFonts w:ascii="Times New Roman" w:hAnsi="Times New Roman"/>
                <w:b w:val="0"/>
                <w:i w:val="0"/>
                <w:sz w:val="20"/>
              </w:rPr>
              <w:t>Product page, cart, stock check</w:t>
            </w:r>
          </w:p>
        </w:tc>
        <w:tc>
          <w:tcPr>
            <w:tcW w:type="dxa" w:w="2340"/>
          </w:tcPr>
          <w:p>
            <w:r>
              <w:rPr>
                <w:rFonts w:ascii="Times New Roman" w:hAnsi="Times New Roman"/>
                <w:b w:val="0"/>
                <w:i w:val="0"/>
                <w:sz w:val="20"/>
              </w:rPr>
              <w:t>exact-key lookup</w:t>
            </w:r>
          </w:p>
        </w:tc>
        <w:tc>
          <w:tcPr>
            <w:tcW w:type="dxa" w:w="2340"/>
          </w:tcPr>
          <w:p>
            <w:r>
              <w:rPr>
                <w:rFonts w:ascii="Times New Roman" w:hAnsi="Times New Roman"/>
                <w:b w:val="0"/>
                <w:i w:val="0"/>
                <w:sz w:val="20"/>
              </w:rPr>
              <w:t>hash table (chaining, FNV-1a, resizing)</w:t>
            </w:r>
          </w:p>
        </w:tc>
        <w:tc>
          <w:tcPr>
            <w:tcW w:type="dxa" w:w="2340"/>
          </w:tcPr>
          <w:p>
            <w:r>
              <w:rPr>
                <w:rFonts w:ascii="Times New Roman" w:hAnsi="Times New Roman"/>
                <w:b w:val="0"/>
                <w:i w:val="0"/>
                <w:sz w:val="20"/>
              </w:rPr>
              <w:t>O(1) expected</w:t>
            </w:r>
          </w:p>
        </w:tc>
      </w:tr>
      <w:tr>
        <w:tc>
          <w:tcPr>
            <w:tcW w:type="dxa" w:w="2340"/>
          </w:tcPr>
          <w:p>
            <w:r>
              <w:rPr>
                <w:rFonts w:ascii="Times New Roman" w:hAnsi="Times New Roman"/>
                <w:b w:val="0"/>
                <w:i w:val="0"/>
                <w:sz w:val="20"/>
              </w:rPr>
              <w:t>Search-as-you-type</w:t>
            </w:r>
          </w:p>
        </w:tc>
        <w:tc>
          <w:tcPr>
            <w:tcW w:type="dxa" w:w="2340"/>
          </w:tcPr>
          <w:p>
            <w:r>
              <w:rPr>
                <w:rFonts w:ascii="Times New Roman" w:hAnsi="Times New Roman"/>
                <w:b w:val="0"/>
                <w:i w:val="0"/>
                <w:sz w:val="20"/>
              </w:rPr>
              <w:t>prefix match</w:t>
            </w:r>
          </w:p>
        </w:tc>
        <w:tc>
          <w:tcPr>
            <w:tcW w:type="dxa" w:w="2340"/>
          </w:tcPr>
          <w:p>
            <w:r>
              <w:rPr>
                <w:rFonts w:ascii="Times New Roman" w:hAnsi="Times New Roman"/>
                <w:b w:val="0"/>
                <w:i w:val="0"/>
                <w:sz w:val="20"/>
              </w:rPr>
              <w:t>trie, one node per character</w:t>
            </w:r>
          </w:p>
        </w:tc>
        <w:tc>
          <w:tcPr>
            <w:tcW w:type="dxa" w:w="2340"/>
          </w:tcPr>
          <w:p>
            <w:r>
              <w:rPr>
                <w:rFonts w:ascii="Times New Roman" w:hAnsi="Times New Roman"/>
                <w:b w:val="0"/>
                <w:i w:val="0"/>
                <w:sz w:val="20"/>
              </w:rPr>
              <w:t>O(L + matches)</w:t>
            </w:r>
          </w:p>
        </w:tc>
      </w:tr>
      <w:tr>
        <w:tc>
          <w:tcPr>
            <w:tcW w:type="dxa" w:w="2340"/>
          </w:tcPr>
          <w:p>
            <w:r>
              <w:rPr>
                <w:rFonts w:ascii="Times New Roman" w:hAnsi="Times New Roman"/>
                <w:b w:val="0"/>
                <w:i w:val="0"/>
                <w:sz w:val="20"/>
              </w:rPr>
              <w:t>Price filter</w:t>
            </w:r>
          </w:p>
        </w:tc>
        <w:tc>
          <w:tcPr>
            <w:tcW w:type="dxa" w:w="2340"/>
          </w:tcPr>
          <w:p>
            <w:r>
              <w:rPr>
                <w:rFonts w:ascii="Times New Roman" w:hAnsi="Times New Roman"/>
                <w:b w:val="0"/>
                <w:i w:val="0"/>
                <w:sz w:val="20"/>
              </w:rPr>
              <w:t>ordered range query</w:t>
            </w:r>
          </w:p>
        </w:tc>
        <w:tc>
          <w:tcPr>
            <w:tcW w:type="dxa" w:w="2340"/>
          </w:tcPr>
          <w:p>
            <w:r>
              <w:rPr>
                <w:rFonts w:ascii="Times New Roman" w:hAnsi="Times New Roman"/>
                <w:b w:val="0"/>
                <w:i w:val="0"/>
                <w:sz w:val="20"/>
              </w:rPr>
              <w:t>binary search tree, SKU sets per price</w:t>
            </w:r>
          </w:p>
        </w:tc>
        <w:tc>
          <w:tcPr>
            <w:tcW w:type="dxa" w:w="2340"/>
          </w:tcPr>
          <w:p>
            <w:r>
              <w:rPr>
                <w:rFonts w:ascii="Times New Roman" w:hAnsi="Times New Roman"/>
                <w:b w:val="0"/>
                <w:i w:val="0"/>
                <w:sz w:val="20"/>
              </w:rPr>
              <w:t>O(h + k)</w:t>
            </w:r>
          </w:p>
        </w:tc>
      </w:tr>
      <w:tr>
        <w:tc>
          <w:tcPr>
            <w:tcW w:type="dxa" w:w="2340"/>
          </w:tcPr>
          <w:p>
            <w:r>
              <w:rPr>
                <w:rFonts w:ascii="Times New Roman" w:hAnsi="Times New Roman"/>
                <w:b w:val="0"/>
                <w:i w:val="0"/>
                <w:sz w:val="20"/>
              </w:rPr>
              <w:t>"Customers also bought"</w:t>
            </w:r>
          </w:p>
        </w:tc>
        <w:tc>
          <w:tcPr>
            <w:tcW w:type="dxa" w:w="2340"/>
          </w:tcPr>
          <w:p>
            <w:r>
              <w:rPr>
                <w:rFonts w:ascii="Times New Roman" w:hAnsi="Times New Roman"/>
                <w:b w:val="0"/>
                <w:i w:val="0"/>
                <w:sz w:val="20"/>
              </w:rPr>
              <w:t>weighted neighborhood</w:t>
            </w:r>
          </w:p>
        </w:tc>
        <w:tc>
          <w:tcPr>
            <w:tcW w:type="dxa" w:w="2340"/>
          </w:tcPr>
          <w:p>
            <w:r>
              <w:rPr>
                <w:rFonts w:ascii="Times New Roman" w:hAnsi="Times New Roman"/>
                <w:b w:val="0"/>
                <w:i w:val="0"/>
                <w:sz w:val="20"/>
              </w:rPr>
              <w:t>adjacency-list co-purchase graph</w:t>
            </w:r>
          </w:p>
        </w:tc>
        <w:tc>
          <w:tcPr>
            <w:tcW w:type="dxa" w:w="2340"/>
          </w:tcPr>
          <w:p>
            <w:r>
              <w:rPr>
                <w:rFonts w:ascii="Times New Roman" w:hAnsi="Times New Roman"/>
                <w:b w:val="0"/>
                <w:i w:val="0"/>
                <w:sz w:val="20"/>
              </w:rPr>
              <w:t>O(d log d)</w:t>
            </w:r>
          </w:p>
        </w:tc>
      </w:tr>
      <w:tr>
        <w:tc>
          <w:tcPr>
            <w:tcW w:type="dxa" w:w="2340"/>
          </w:tcPr>
          <w:p>
            <w:r>
              <w:rPr>
                <w:rFonts w:ascii="Times New Roman" w:hAnsi="Times New Roman"/>
                <w:b w:val="0"/>
                <w:i w:val="0"/>
                <w:sz w:val="20"/>
              </w:rPr>
              <w:t>Best sellers / low stock</w:t>
            </w:r>
          </w:p>
        </w:tc>
        <w:tc>
          <w:tcPr>
            <w:tcW w:type="dxa" w:w="2340"/>
          </w:tcPr>
          <w:p>
            <w:r>
              <w:rPr>
                <w:rFonts w:ascii="Times New Roman" w:hAnsi="Times New Roman"/>
                <w:b w:val="0"/>
                <w:i w:val="0"/>
                <w:sz w:val="20"/>
              </w:rPr>
              <w:t>top-k selection</w:t>
            </w:r>
          </w:p>
        </w:tc>
        <w:tc>
          <w:tcPr>
            <w:tcW w:type="dxa" w:w="2340"/>
          </w:tcPr>
          <w:p>
            <w:r>
              <w:rPr>
                <w:rFonts w:ascii="Times New Roman" w:hAnsi="Times New Roman"/>
                <w:b w:val="0"/>
                <w:i w:val="0"/>
                <w:sz w:val="20"/>
              </w:rPr>
              <w:t>binary max-heap</w:t>
            </w:r>
          </w:p>
        </w:tc>
        <w:tc>
          <w:tcPr>
            <w:tcW w:type="dxa" w:w="2340"/>
          </w:tcPr>
          <w:p>
            <w:r>
              <w:rPr>
                <w:rFonts w:ascii="Times New Roman" w:hAnsi="Times New Roman"/>
                <w:b w:val="0"/>
                <w:i w:val="0"/>
                <w:sz w:val="20"/>
              </w:rPr>
              <w:t>O(n + k log n)</w:t>
            </w:r>
          </w:p>
        </w:tc>
      </w:tr>
      <w:tr>
        <w:tc>
          <w:tcPr>
            <w:tcW w:type="dxa" w:w="2340"/>
          </w:tcPr>
          <w:p>
            <w:r>
              <w:rPr>
                <w:rFonts w:ascii="Times New Roman" w:hAnsi="Times New Roman"/>
                <w:b w:val="0"/>
                <w:i w:val="0"/>
                <w:sz w:val="20"/>
              </w:rPr>
              <w:t>Checkout to fulfilment</w:t>
            </w:r>
          </w:p>
        </w:tc>
        <w:tc>
          <w:tcPr>
            <w:tcW w:type="dxa" w:w="2340"/>
          </w:tcPr>
          <w:p>
            <w:r>
              <w:rPr>
                <w:rFonts w:ascii="Times New Roman" w:hAnsi="Times New Roman"/>
                <w:b w:val="0"/>
                <w:i w:val="0"/>
                <w:sz w:val="20"/>
              </w:rPr>
              <w:t>first-in-first-out</w:t>
            </w:r>
          </w:p>
        </w:tc>
        <w:tc>
          <w:tcPr>
            <w:tcW w:type="dxa" w:w="2340"/>
          </w:tcPr>
          <w:p>
            <w:r>
              <w:rPr>
                <w:rFonts w:ascii="Times New Roman" w:hAnsi="Times New Roman"/>
                <w:b w:val="0"/>
                <w:i w:val="0"/>
                <w:sz w:val="20"/>
              </w:rPr>
              <w:t>circular-buffer queue</w:t>
            </w:r>
          </w:p>
        </w:tc>
        <w:tc>
          <w:tcPr>
            <w:tcW w:type="dxa" w:w="2340"/>
          </w:tcPr>
          <w:p>
            <w:r>
              <w:rPr>
                <w:rFonts w:ascii="Times New Roman" w:hAnsi="Times New Roman"/>
                <w:b w:val="0"/>
                <w:i w:val="0"/>
                <w:sz w:val="20"/>
              </w:rPr>
              <w:t>O(1) amortized</w:t>
            </w:r>
          </w:p>
        </w:tc>
      </w:tr>
    </w:tbl>
    <w:p>
      <w:pPr>
        <w:spacing w:before="240" w:after="120"/>
        <w:ind w:firstLine="0"/>
      </w:pPr>
      <w:r>
        <w:rPr>
          <w:rFonts w:ascii="Times New Roman" w:hAnsi="Times New Roman"/>
          <w:b/>
          <w:i w:val="0"/>
          <w:sz w:val="24"/>
        </w:rPr>
        <w:t>System Design</w:t>
      </w:r>
    </w:p>
    <w:p>
      <w:pPr>
        <w:spacing w:before="240" w:after="120"/>
        <w:ind w:firstLine="0"/>
      </w:pPr>
      <w:r>
        <w:rPr>
          <w:rFonts w:ascii="Times New Roman" w:hAnsi="Times New Roman"/>
          <w:b/>
          <w:i/>
          <w:sz w:val="24"/>
        </w:rPr>
        <w:t>The Catalog as Source of Truth</w:t>
      </w:r>
    </w:p>
    <w:p>
      <w:pPr>
        <w:spacing w:line="480" w:lineRule="exact" w:before="0" w:after="0"/>
        <w:ind w:firstLine="720"/>
      </w:pPr>
      <w:r>
        <w:rPr>
          <w:rFonts w:ascii="Times New Roman" w:hAnsi="Times New Roman"/>
          <w:b w:val="0"/>
          <w:i w:val="0"/>
          <w:sz w:val="24"/>
        </w:rPr>
        <w:t>The catalog maps SKU strings to records holding name, price, stock, and units sold. Separate chaining was chosen over open addressing because chaining tolerates the routine deletions of a live catalog and degrades gracefully under load (Cormen et al., 2022); keys are mixed with the FNV-1a byte hash; and the bucket array doubles whenever the load factor exceeds 0.75, keeping expected chain length — and therefore lookup cost — constant. The resize can be disabled by a constructor flag, which the evaluation phase uses to measure exactly what that optimization is worth.</w:t>
      </w:r>
    </w:p>
    <w:p>
      <w:pPr>
        <w:spacing w:before="240" w:after="120"/>
        <w:ind w:firstLine="0"/>
      </w:pPr>
      <w:r>
        <w:rPr>
          <w:rFonts w:ascii="Times New Roman" w:hAnsi="Times New Roman"/>
          <w:b/>
          <w:i/>
          <w:sz w:val="24"/>
        </w:rPr>
        <w:t>Query Indexes: Trie and Price Tree</w:t>
      </w:r>
    </w:p>
    <w:p>
      <w:pPr>
        <w:spacing w:line="480" w:lineRule="exact" w:before="0" w:after="0"/>
        <w:ind w:firstLine="720"/>
      </w:pPr>
      <w:r>
        <w:rPr>
          <w:rFonts w:ascii="Times New Roman" w:hAnsi="Times New Roman"/>
          <w:b w:val="0"/>
          <w:i w:val="0"/>
          <w:sz w:val="24"/>
        </w:rPr>
        <w:t>The trie indexes every word of every product name along shared prefix paths, so "key" retrieves both "Keyboard Cover" and "Mechanical Keyboard"; multi-word queries intersect per-word results. Its query cost depends on prefix length and result count only (Fredkin, 1960), at a memory price the evaluation measures. The price index is an unbalanced binary search tree in which duplicate prices share one node holding a SKU set, one node per distinct price point; range queries run a pruned in-order traversal that skips subtrees outside the requested band and returns results already sorted by price. Accepting an unbalanced tree was a deliberate, documented risk: random insertion keeps expected height logarithmic, and the known monotone-insertion worst case was deferred to the stress tests rather than paid for up front with rotation machinery.</w:t>
      </w:r>
    </w:p>
    <w:p>
      <w:pPr>
        <w:spacing w:before="240" w:after="120"/>
        <w:ind w:firstLine="0"/>
      </w:pPr>
      <w:r>
        <w:rPr>
          <w:rFonts w:ascii="Times New Roman" w:hAnsi="Times New Roman"/>
          <w:b/>
          <w:i/>
          <w:sz w:val="24"/>
        </w:rPr>
        <w:t>Commerce Structures: Graph, Heap, and Queue</w:t>
      </w:r>
    </w:p>
    <w:p>
      <w:pPr>
        <w:spacing w:line="480" w:lineRule="exact" w:before="0" w:after="0"/>
        <w:ind w:firstLine="720"/>
      </w:pPr>
      <w:r>
        <w:rPr>
          <w:rFonts w:ascii="Times New Roman" w:hAnsi="Times New Roman"/>
          <w:b w:val="0"/>
          <w:i w:val="0"/>
          <w:sz w:val="24"/>
        </w:rPr>
        <w:t>The co-purchase graph keeps a weighted adjacency list; fulfilling an order with m line items increments the m(m−1)/2 pairwise edge weights, cheap because real orders are small, and a product-page query ranks the vertex's neighbors by weight. The max-heap is array-backed with explicit sift-up and sift-down, built over (sales, SKU) pairs by O(n) heapify; the low-stock alert is the same heap fed negated stock levels. The order queue is a circular buffer with head index and size, doubling in place and unrolling its wrapped layout on growth, so enqueue and dequeue are O(1) without the O(n) shift of popping a Python list's front. All three are integrated by the ECommerceSystem facade, whose fulfilment method is the single point where queue, catalog, and graph interact:</w:t>
      </w:r>
    </w:p>
    <w:p>
      <w:pPr>
        <w:spacing w:before="80" w:after="80"/>
        <w:ind w:left="720" w:firstLine="0"/>
      </w:pPr>
      <w:r>
        <w:rPr>
          <w:rFonts w:ascii="Courier New" w:hAnsi="Courier New"/>
          <w:sz w:val="18"/>
        </w:rPr>
        <w:t>def process_next_order(self):</w:t>
        <w:br/>
        <w:t xml:space="preserve">    order = self.orders.dequeue()                    # queue, O(1)</w:t>
        <w:br/>
        <w:t xml:space="preserve">    products = [self.catalog.get(s) for s in order.skus]</w:t>
        <w:br/>
        <w:t xml:space="preserve">    for product in products:                         # validate first</w:t>
        <w:br/>
        <w:t xml:space="preserve">        if product.stock &lt; order.skus.count(product.sku):</w:t>
        <w:br/>
        <w:t xml:space="preserve">            order.status = "failed"</w:t>
        <w:br/>
        <w:t xml:space="preserve">            raise OutOfStockError(...)</w:t>
        <w:br/>
        <w:t xml:space="preserve">    for product in products:                         # then commit</w:t>
        <w:br/>
        <w:t xml:space="preserve">        product.stock -= 1</w:t>
        <w:br/>
        <w:t xml:space="preserve">        product.sales_count += 1</w:t>
        <w:br/>
        <w:t xml:space="preserve">    self.recommendations.record_order(order.skus)    # feed the graph</w:t>
        <w:br/>
        <w:t xml:space="preserve">    order.status = "fulfilled"</w:t>
      </w:r>
    </w:p>
    <w:p>
      <w:pPr>
        <w:spacing w:before="240" w:after="120"/>
        <w:ind w:firstLine="0"/>
      </w:pPr>
      <w:r>
        <w:rPr>
          <w:rFonts w:ascii="Times New Roman" w:hAnsi="Times New Roman"/>
          <w:b/>
          <w:i w:val="0"/>
          <w:sz w:val="24"/>
        </w:rPr>
        <w:t>Implementation</w:t>
      </w:r>
    </w:p>
    <w:p>
      <w:pPr>
        <w:spacing w:line="480" w:lineRule="exact" w:before="0" w:after="0"/>
        <w:ind w:firstLine="720"/>
      </w:pPr>
      <w:r>
        <w:rPr>
          <w:rFonts w:ascii="Times New Roman" w:hAnsi="Times New Roman"/>
          <w:b w:val="0"/>
          <w:i w:val="0"/>
          <w:sz w:val="24"/>
        </w:rPr>
        <w:t>The implementation is pure Python 3 with no third-party dependencies: a data_structures package with one module per structure, the facade, a demonstration script, a browser portal, the test suite, and the benchmark suite. Every public operation documents its asymptotic cost, and every module validates inputs at the boundary — negative prices, empty names, empty orders, invalid ranges, and invalid k values raise typed exceptions before any state mutates. Three implementation decisions came from confronting failure modes directly. Multi-word search originally treated the whole query as one prefix and matched nothing; the fix intersects per-word trie walks. Tree insertion and traversal are iterative with explicit stacks, because the degenerate tree the stress tests deliberately build would overflow Python's recursion limit. And fulfilment validates every line item before committing any decrement, making out-of-stock failure atomic — an ordering bug the first version had, caught by a test that checks a failed order leaves other items' stock untouched.</w:t>
      </w:r>
    </w:p>
    <w:p>
      <w:pPr>
        <w:spacing w:line="480" w:lineRule="exact" w:before="0" w:after="0"/>
        <w:ind w:firstLine="720"/>
      </w:pPr>
      <w:r>
        <w:rPr>
          <w:rFonts w:ascii="Times New Roman" w:hAnsi="Times New Roman"/>
          <w:b w:val="0"/>
          <w:i w:val="0"/>
          <w:sz w:val="24"/>
        </w:rPr>
        <w:t>The demonstration script replays a scripted shopping session against a seeded fifteen-product catalog (Figures 1 and 2): seeding reports each structure's internal statistics, searches show single- and multi-word autocomplete, the price filter returns a sorted band, and eight orders flow through fulfilment. The causal wiring of the system is visible in the output: the recommendation panel for the Wireless Mouse ranks the Wireless Keyboard first with weight three precisely because three of the eight orders contained both, and the dashboards reflect the decremented stock. The final step exercises the error paths on purpose, rejecting an unknown SKU at checkout and an order for an exhausted product at fulfilment.</w:t>
      </w:r>
    </w:p>
    <w:p>
      <w:pPr>
        <w:ind w:firstLine="0"/>
        <w:jc w:val="center"/>
      </w:pPr>
      <w:r>
        <w:drawing>
          <wp:inline xmlns:a="http://schemas.openxmlformats.org/drawingml/2006/main" xmlns:pic="http://schemas.openxmlformats.org/drawingml/2006/picture">
            <wp:extent cx="5760720" cy="2707538"/>
            <wp:docPr id="1" name="Picture 1"/>
            <wp:cNvGraphicFramePr>
              <a:graphicFrameLocks noChangeAspect="1"/>
            </wp:cNvGraphicFramePr>
            <a:graphic>
              <a:graphicData uri="http://schemas.openxmlformats.org/drawingml/2006/picture">
                <pic:pic>
                  <pic:nvPicPr>
                    <pic:cNvPr id="0" name="screenshot_demo_part1.png"/>
                    <pic:cNvPicPr/>
                  </pic:nvPicPr>
                  <pic:blipFill>
                    <a:blip r:embed="rId9"/>
                    <a:stretch>
                      <a:fillRect/>
                    </a:stretch>
                  </pic:blipFill>
                  <pic:spPr>
                    <a:xfrm>
                      <a:off x="0" y="0"/>
                      <a:ext cx="5760720" cy="2707538"/>
                    </a:xfrm>
                    <a:prstGeom prst="rect"/>
                  </pic:spPr>
                </pic:pic>
              </a:graphicData>
            </a:graphic>
          </wp:inline>
        </w:drawing>
      </w:r>
    </w:p>
    <w:p>
      <w:pPr>
        <w:spacing w:before="40" w:after="200"/>
        <w:ind w:firstLine="0"/>
        <w:jc w:val="center"/>
      </w:pPr>
      <w:r>
        <w:rPr>
          <w:rFonts w:ascii="Times New Roman" w:hAnsi="Times New Roman"/>
          <w:b w:val="0"/>
          <w:i/>
          <w:sz w:val="20"/>
        </w:rPr>
        <w:t>Figure 1. End-to-end demonstration, part 1: seeding, trie searches, price filter, order placement.</w:t>
      </w:r>
    </w:p>
    <w:p>
      <w:pPr>
        <w:ind w:firstLine="0"/>
        <w:jc w:val="center"/>
      </w:pPr>
      <w:r>
        <w:drawing>
          <wp:inline xmlns:a="http://schemas.openxmlformats.org/drawingml/2006/main" xmlns:pic="http://schemas.openxmlformats.org/drawingml/2006/picture">
            <wp:extent cx="5760720" cy="2979115"/>
            <wp:docPr id="2" name="Picture 2"/>
            <wp:cNvGraphicFramePr>
              <a:graphicFrameLocks noChangeAspect="1"/>
            </wp:cNvGraphicFramePr>
            <a:graphic>
              <a:graphicData uri="http://schemas.openxmlformats.org/drawingml/2006/picture">
                <pic:pic>
                  <pic:nvPicPr>
                    <pic:cNvPr id="0" name="screenshot_demo_part2.png"/>
                    <pic:cNvPicPr/>
                  </pic:nvPicPr>
                  <pic:blipFill>
                    <a:blip r:embed="rId10"/>
                    <a:stretch>
                      <a:fillRect/>
                    </a:stretch>
                  </pic:blipFill>
                  <pic:spPr>
                    <a:xfrm>
                      <a:off x="0" y="0"/>
                      <a:ext cx="5760720" cy="2979115"/>
                    </a:xfrm>
                    <a:prstGeom prst="rect"/>
                  </pic:spPr>
                </pic:pic>
              </a:graphicData>
            </a:graphic>
          </wp:inline>
        </w:drawing>
      </w:r>
    </w:p>
    <w:p>
      <w:pPr>
        <w:spacing w:before="40" w:after="200"/>
        <w:ind w:firstLine="0"/>
        <w:jc w:val="center"/>
      </w:pPr>
      <w:r>
        <w:rPr>
          <w:rFonts w:ascii="Times New Roman" w:hAnsi="Times New Roman"/>
          <w:b w:val="0"/>
          <w:i/>
          <w:sz w:val="20"/>
        </w:rPr>
        <w:t>Figure 2. Demonstration, part 2: fulfilment feeding the graph, dashboards, error handling.</w:t>
      </w:r>
    </w:p>
    <w:p>
      <w:pPr>
        <w:spacing w:line="480" w:lineRule="exact" w:before="0" w:after="0"/>
        <w:ind w:firstLine="720"/>
      </w:pPr>
      <w:r>
        <w:rPr>
          <w:rFonts w:ascii="Times New Roman" w:hAnsi="Times New Roman"/>
          <w:b w:val="0"/>
          <w:i w:val="0"/>
          <w:sz w:val="24"/>
        </w:rPr>
        <w:t>The demonstration also runs interactively. A browser portal (portal.py, built on the standard library's http.server so the project remains dependency-free) serves a single-page storefront in which every panel is answered by exactly one structure and is color-coded to it: live trie autocomplete, tree-served price bands, the hash-table catalog with per-product return buttons, graph-served co-purchase panels, a queue-backed cart and fulfilment flow, and three heap dashboards, with a metrics strip reporting each structure's live diagnostics (Figure 3). The portal also completes the merchandising loop with a returns workflow: an accepted return restocks through the catalog, cumulative returns are capped at units actually sold, and a most-returned dashboard ranks the returns counters with the same heap as the best sellers — keeping demand and dissatisfaction as separate, simultaneously visible signals.</w:t>
      </w:r>
    </w:p>
    <w:p>
      <w:pPr>
        <w:ind w:firstLine="0"/>
        <w:jc w:val="center"/>
      </w:pPr>
      <w:r>
        <w:drawing>
          <wp:inline xmlns:a="http://schemas.openxmlformats.org/drawingml/2006/main" xmlns:pic="http://schemas.openxmlformats.org/drawingml/2006/picture">
            <wp:extent cx="5486400" cy="6736080"/>
            <wp:docPr id="3" name="Picture 3"/>
            <wp:cNvGraphicFramePr>
              <a:graphicFrameLocks noChangeAspect="1"/>
            </wp:cNvGraphicFramePr>
            <a:graphic>
              <a:graphicData uri="http://schemas.openxmlformats.org/drawingml/2006/picture">
                <pic:pic>
                  <pic:nvPicPr>
                    <pic:cNvPr id="0" name="screenshot_portal_search.png"/>
                    <pic:cNvPicPr/>
                  </pic:nvPicPr>
                  <pic:blipFill>
                    <a:blip r:embed="rId11"/>
                    <a:stretch>
                      <a:fillRect/>
                    </a:stretch>
                  </pic:blipFill>
                  <pic:spPr>
                    <a:xfrm>
                      <a:off x="0" y="0"/>
                      <a:ext cx="5486400" cy="6736080"/>
                    </a:xfrm>
                    <a:prstGeom prst="rect"/>
                  </pic:spPr>
                </pic:pic>
              </a:graphicData>
            </a:graphic>
          </wp:inline>
        </w:drawing>
      </w:r>
    </w:p>
    <w:p>
      <w:pPr>
        <w:spacing w:before="40" w:after="200"/>
        <w:ind w:firstLine="0"/>
        <w:jc w:val="center"/>
      </w:pPr>
      <w:r>
        <w:rPr>
          <w:rFonts w:ascii="Times New Roman" w:hAnsi="Times New Roman"/>
          <w:b w:val="0"/>
          <w:i/>
          <w:sz w:val="20"/>
        </w:rPr>
        <w:t>Figure 3. The browser portal: a live multi-word trie search, graph recommendations, and the three heap dashboards, each panel color-coded to its structure.</w:t>
      </w:r>
    </w:p>
    <w:p>
      <w:pPr>
        <w:spacing w:before="240" w:after="120"/>
        <w:ind w:firstLine="0"/>
      </w:pPr>
      <w:r>
        <w:rPr>
          <w:rFonts w:ascii="Times New Roman" w:hAnsi="Times New Roman"/>
          <w:b/>
          <w:i w:val="0"/>
          <w:sz w:val="24"/>
        </w:rPr>
        <w:t>Testing and Validation</w:t>
      </w:r>
    </w:p>
    <w:p>
      <w:pPr>
        <w:spacing w:line="480" w:lineRule="exact" w:before="0" w:after="0"/>
        <w:ind w:firstLine="720"/>
      </w:pPr>
      <w:r>
        <w:rPr>
          <w:rFonts w:ascii="Times New Roman" w:hAnsi="Times New Roman"/>
          <w:b w:val="0"/>
          <w:i w:val="0"/>
          <w:sz w:val="24"/>
        </w:rPr>
        <w:t>Correctness rests on forty-two unit tests organized by structure (Figure 4). Beyond happy paths, the tests target each design's specific failure modes: the hash table is filled through multiple resizes and every record re-verified, and its no-resize configuration is asserted to develop long chains; the queue is grown from a two-slot buffer and drained across the wraparound boundary; the price tree's range query is cross-checked against a brute-force scan over one thousand random prices; the heap's top-25 is compared with a full sort on two thousand random entries; and the facade's integration tests verify that removing a product cleans every index, that a failed order commits nothing, and that returns restock the catalog while cumulative caps reject returning more units than were ever sold. Two system-level stress tests complete the validation. Loading the price tree with four thousand strictly increasing prices produces the predicted degenerate height of 4,000 versus 25 for random order (Figure 8). Replaying twenty thousand orders against a deliberately undersized one-thousand-product catalog exhausts supply and forces 9,413 atomic rejections — the platform's behavior under a flash-sale load — while the same stream against the full catalog rejects only 234.</w:t>
      </w:r>
    </w:p>
    <w:p>
      <w:pPr>
        <w:ind w:firstLine="0"/>
        <w:jc w:val="center"/>
      </w:pPr>
      <w:r>
        <w:drawing>
          <wp:inline xmlns:a="http://schemas.openxmlformats.org/drawingml/2006/main" xmlns:pic="http://schemas.openxmlformats.org/drawingml/2006/picture">
            <wp:extent cx="4572000" cy="1158949"/>
            <wp:docPr id="4" name="Picture 4"/>
            <wp:cNvGraphicFramePr>
              <a:graphicFrameLocks noChangeAspect="1"/>
            </wp:cNvGraphicFramePr>
            <a:graphic>
              <a:graphicData uri="http://schemas.openxmlformats.org/drawingml/2006/picture">
                <pic:pic>
                  <pic:nvPicPr>
                    <pic:cNvPr id="0" name="screenshot_tests.png"/>
                    <pic:cNvPicPr/>
                  </pic:nvPicPr>
                  <pic:blipFill>
                    <a:blip r:embed="rId12"/>
                    <a:stretch>
                      <a:fillRect/>
                    </a:stretch>
                  </pic:blipFill>
                  <pic:spPr>
                    <a:xfrm>
                      <a:off x="0" y="0"/>
                      <a:ext cx="4572000" cy="1158949"/>
                    </a:xfrm>
                    <a:prstGeom prst="rect"/>
                  </pic:spPr>
                </pic:pic>
              </a:graphicData>
            </a:graphic>
          </wp:inline>
        </w:drawing>
      </w:r>
    </w:p>
    <w:p>
      <w:pPr>
        <w:spacing w:before="40" w:after="200"/>
        <w:ind w:firstLine="0"/>
        <w:jc w:val="center"/>
      </w:pPr>
      <w:r>
        <w:rPr>
          <w:rFonts w:ascii="Times New Roman" w:hAnsi="Times New Roman"/>
          <w:b w:val="0"/>
          <w:i/>
          <w:sz w:val="20"/>
        </w:rPr>
        <w:t>Figure 4. The unit-test suite: 42 tests passing.</w:t>
      </w:r>
    </w:p>
    <w:p>
      <w:pPr>
        <w:spacing w:before="240" w:after="120"/>
        <w:ind w:firstLine="0"/>
      </w:pPr>
      <w:r>
        <w:rPr>
          <w:rFonts w:ascii="Times New Roman" w:hAnsi="Times New Roman"/>
          <w:b/>
          <w:i w:val="0"/>
          <w:sz w:val="24"/>
        </w:rPr>
        <w:t>Performance Evaluation and Optimization</w:t>
      </w:r>
    </w:p>
    <w:p>
      <w:pPr>
        <w:spacing w:line="480" w:lineRule="exact" w:before="0" w:after="0"/>
        <w:ind w:firstLine="720"/>
      </w:pPr>
      <w:r>
        <w:rPr>
          <w:rFonts w:ascii="Times New Roman" w:hAnsi="Times New Roman"/>
          <w:b w:val="0"/>
          <w:i w:val="0"/>
          <w:sz w:val="24"/>
        </w:rPr>
        <w:t>The benchmark suite scales catalogs from one thousand to one hundred thousand products, generated with an adjective-noun-variant vocabulary so the trie faces realistic shared prefixes, and an order stream with quadratic popularity skew so hub products emerge as they do in real stores. Timings are best-of-five with time.perf_counter; memory is peak tracemalloc. Each structure is measured against the naive baseline a simpler implementation would have used.</w:t>
      </w:r>
    </w:p>
    <w:p>
      <w:pPr>
        <w:spacing w:line="480" w:lineRule="exact" w:before="0" w:after="0"/>
        <w:ind w:firstLine="720"/>
      </w:pPr>
      <w:r>
        <w:rPr>
          <w:rFonts w:ascii="Times New Roman" w:hAnsi="Times New Roman"/>
          <w:b w:val="0"/>
          <w:i w:val="0"/>
          <w:sz w:val="24"/>
        </w:rPr>
        <w:t>The catalog experiment isolates the value of dynamic resizing. With resizing, lookups are flat at about 2.2 µs across two orders of magnitude of catalog size; frozen at 1,024 buckets, the same table degrades linearly to 10.1 µs with maximum chains 111 entries long (Figure 5) — the O(n/m) arithmetic of chained hashing made visible. Search shows the largest payoff: the linear scan reaches 82 ms per query at full scale while the trie answers in 1.83 ms, a 45-fold advantage that widens with size (Figure 6, log scale). The pruned tree serves a $100–$125 band returning 5,040 products in 1.2 ms against 6.9 ms for scan-and-sort (Figure 7), a 5.7-fold gain that grows with the fraction of catalog outside the band.</w:t>
      </w:r>
    </w:p>
    <w:p>
      <w:pPr>
        <w:ind w:firstLine="0"/>
        <w:jc w:val="center"/>
      </w:pPr>
      <w:r>
        <w:drawing>
          <wp:inline xmlns:a="http://schemas.openxmlformats.org/drawingml/2006/main" xmlns:pic="http://schemas.openxmlformats.org/drawingml/2006/picture">
            <wp:extent cx="5303520" cy="3409406"/>
            <wp:docPr id="5" name="Picture 5"/>
            <wp:cNvGraphicFramePr>
              <a:graphicFrameLocks noChangeAspect="1"/>
            </wp:cNvGraphicFramePr>
            <a:graphic>
              <a:graphicData uri="http://schemas.openxmlformats.org/drawingml/2006/picture">
                <pic:pic>
                  <pic:nvPicPr>
                    <pic:cNvPr id="0" name="chart_catalog_lookup.png"/>
                    <pic:cNvPicPr/>
                  </pic:nvPicPr>
                  <pic:blipFill>
                    <a:blip r:embed="rId13"/>
                    <a:stretch>
                      <a:fillRect/>
                    </a:stretch>
                  </pic:blipFill>
                  <pic:spPr>
                    <a:xfrm>
                      <a:off x="0" y="0"/>
                      <a:ext cx="5303520" cy="3409406"/>
                    </a:xfrm>
                    <a:prstGeom prst="rect"/>
                  </pic:spPr>
                </pic:pic>
              </a:graphicData>
            </a:graphic>
          </wp:inline>
        </w:drawing>
      </w:r>
    </w:p>
    <w:p>
      <w:pPr>
        <w:spacing w:before="40" w:after="200"/>
        <w:ind w:firstLine="0"/>
        <w:jc w:val="center"/>
      </w:pPr>
      <w:r>
        <w:rPr>
          <w:rFonts w:ascii="Times New Roman" w:hAnsi="Times New Roman"/>
          <w:b w:val="0"/>
          <w:i/>
          <w:sz w:val="20"/>
        </w:rPr>
        <w:t>Figure 5. Hash-table lookups: resizing vs fixed capacity.</w:t>
      </w:r>
    </w:p>
    <w:p>
      <w:pPr>
        <w:ind w:firstLine="0"/>
        <w:jc w:val="center"/>
      </w:pPr>
      <w:r>
        <w:drawing>
          <wp:inline xmlns:a="http://schemas.openxmlformats.org/drawingml/2006/main" xmlns:pic="http://schemas.openxmlformats.org/drawingml/2006/picture">
            <wp:extent cx="5303520" cy="3409406"/>
            <wp:docPr id="6" name="Picture 6"/>
            <wp:cNvGraphicFramePr>
              <a:graphicFrameLocks noChangeAspect="1"/>
            </wp:cNvGraphicFramePr>
            <a:graphic>
              <a:graphicData uri="http://schemas.openxmlformats.org/drawingml/2006/picture">
                <pic:pic>
                  <pic:nvPicPr>
                    <pic:cNvPr id="0" name="chart_search_prefix.png"/>
                    <pic:cNvPicPr/>
                  </pic:nvPicPr>
                  <pic:blipFill>
                    <a:blip r:embed="rId14"/>
                    <a:stretch>
                      <a:fillRect/>
                    </a:stretch>
                  </pic:blipFill>
                  <pic:spPr>
                    <a:xfrm>
                      <a:off x="0" y="0"/>
                      <a:ext cx="5303520" cy="3409406"/>
                    </a:xfrm>
                    <a:prstGeom prst="rect"/>
                  </pic:spPr>
                </pic:pic>
              </a:graphicData>
            </a:graphic>
          </wp:inline>
        </w:drawing>
      </w:r>
    </w:p>
    <w:p>
      <w:pPr>
        <w:spacing w:before="40" w:after="200"/>
        <w:ind w:firstLine="0"/>
        <w:jc w:val="center"/>
      </w:pPr>
      <w:r>
        <w:rPr>
          <w:rFonts w:ascii="Times New Roman" w:hAnsi="Times New Roman"/>
          <w:b w:val="0"/>
          <w:i/>
          <w:sz w:val="20"/>
        </w:rPr>
        <w:t>Figure 6. Prefix search, log scale: trie vs linear scan.</w:t>
      </w:r>
    </w:p>
    <w:p>
      <w:pPr>
        <w:ind w:firstLine="0"/>
        <w:jc w:val="center"/>
      </w:pPr>
      <w:r>
        <w:drawing>
          <wp:inline xmlns:a="http://schemas.openxmlformats.org/drawingml/2006/main" xmlns:pic="http://schemas.openxmlformats.org/drawingml/2006/picture">
            <wp:extent cx="5303520" cy="3409406"/>
            <wp:docPr id="7" name="Picture 7"/>
            <wp:cNvGraphicFramePr>
              <a:graphicFrameLocks noChangeAspect="1"/>
            </wp:cNvGraphicFramePr>
            <a:graphic>
              <a:graphicData uri="http://schemas.openxmlformats.org/drawingml/2006/picture">
                <pic:pic>
                  <pic:nvPicPr>
                    <pic:cNvPr id="0" name="chart_range_query.png"/>
                    <pic:cNvPicPr/>
                  </pic:nvPicPr>
                  <pic:blipFill>
                    <a:blip r:embed="rId15"/>
                    <a:stretch>
                      <a:fillRect/>
                    </a:stretch>
                  </pic:blipFill>
                  <pic:spPr>
                    <a:xfrm>
                      <a:off x="0" y="0"/>
                      <a:ext cx="5303520" cy="3409406"/>
                    </a:xfrm>
                    <a:prstGeom prst="rect"/>
                  </pic:spPr>
                </pic:pic>
              </a:graphicData>
            </a:graphic>
          </wp:inline>
        </w:drawing>
      </w:r>
    </w:p>
    <w:p>
      <w:pPr>
        <w:spacing w:before="40" w:after="200"/>
        <w:ind w:firstLine="0"/>
        <w:jc w:val="center"/>
      </w:pPr>
      <w:r>
        <w:rPr>
          <w:rFonts w:ascii="Times New Roman" w:hAnsi="Times New Roman"/>
          <w:b w:val="0"/>
          <w:i/>
          <w:sz w:val="20"/>
        </w:rPr>
        <w:t>Figure 7. Price-band query: pruned BST vs linear scan.</w:t>
      </w:r>
    </w:p>
    <w:p>
      <w:pPr>
        <w:spacing w:line="480" w:lineRule="exact" w:before="0" w:after="0"/>
        <w:ind w:firstLine="720"/>
      </w:pPr>
      <w:r>
        <w:rPr>
          <w:rFonts w:ascii="Times New Roman" w:hAnsi="Times New Roman"/>
          <w:b w:val="0"/>
          <w:i w:val="0"/>
          <w:sz w:val="24"/>
        </w:rPr>
        <w:t>One result cuts the other way, and reporting it honestly is part of the evaluation. The heap's O(n + k log n) top-k is asymptotically superior to a full O(n log n) sort (Knuth, 1998), yet the pure-Python heap (76 ms at n = 100,000) only ties Python's built-in sort (74 ms), because Timsort runs in C while every sift-down comparison runs in the interpreter (Figure 9). Constant factors set by the execution environment consumed the asymptotic advantage at every scale measured. The heap stays in the design for what the cold benchmark does not measure: it supports incremental updates without re-sorting the world. End to end, the integrated pipeline fulfils about 44,422 orders per second against the full catalog, declining only modestly with catalog size since per-order work is O(1); the populated system peaks at 65 MB (Figure 10), with the trie the dominant consumer as its per-character nodes carry Python object overhead.</w:t>
      </w:r>
    </w:p>
    <w:p>
      <w:pPr>
        <w:ind w:firstLine="0"/>
        <w:jc w:val="center"/>
      </w:pPr>
      <w:r>
        <w:drawing>
          <wp:inline xmlns:a="http://schemas.openxmlformats.org/drawingml/2006/main" xmlns:pic="http://schemas.openxmlformats.org/drawingml/2006/picture">
            <wp:extent cx="5303520" cy="3409406"/>
            <wp:docPr id="8" name="Picture 8"/>
            <wp:cNvGraphicFramePr>
              <a:graphicFrameLocks noChangeAspect="1"/>
            </wp:cNvGraphicFramePr>
            <a:graphic>
              <a:graphicData uri="http://schemas.openxmlformats.org/drawingml/2006/picture">
                <pic:pic>
                  <pic:nvPicPr>
                    <pic:cNvPr id="0" name="chart_bst_height.png"/>
                    <pic:cNvPicPr/>
                  </pic:nvPicPr>
                  <pic:blipFill>
                    <a:blip r:embed="rId16"/>
                    <a:stretch>
                      <a:fillRect/>
                    </a:stretch>
                  </pic:blipFill>
                  <pic:spPr>
                    <a:xfrm>
                      <a:off x="0" y="0"/>
                      <a:ext cx="5303520" cy="3409406"/>
                    </a:xfrm>
                    <a:prstGeom prst="rect"/>
                  </pic:spPr>
                </pic:pic>
              </a:graphicData>
            </a:graphic>
          </wp:inline>
        </w:drawing>
      </w:r>
    </w:p>
    <w:p>
      <w:pPr>
        <w:spacing w:before="40" w:after="200"/>
        <w:ind w:firstLine="0"/>
        <w:jc w:val="center"/>
      </w:pPr>
      <w:r>
        <w:rPr>
          <w:rFonts w:ascii="Times New Roman" w:hAnsi="Times New Roman"/>
          <w:b w:val="0"/>
          <w:i/>
          <w:sz w:val="20"/>
        </w:rPr>
        <w:t>Figure 8. BST height under random vs monotone insertion.</w:t>
      </w:r>
    </w:p>
    <w:p>
      <w:pPr>
        <w:ind w:firstLine="0"/>
        <w:jc w:val="center"/>
      </w:pPr>
      <w:r>
        <w:drawing>
          <wp:inline xmlns:a="http://schemas.openxmlformats.org/drawingml/2006/main" xmlns:pic="http://schemas.openxmlformats.org/drawingml/2006/picture">
            <wp:extent cx="5303520" cy="3409406"/>
            <wp:docPr id="9" name="Picture 9"/>
            <wp:cNvGraphicFramePr>
              <a:graphicFrameLocks noChangeAspect="1"/>
            </wp:cNvGraphicFramePr>
            <a:graphic>
              <a:graphicData uri="http://schemas.openxmlformats.org/drawingml/2006/picture">
                <pic:pic>
                  <pic:nvPicPr>
                    <pic:cNvPr id="0" name="chart_top_k.png"/>
                    <pic:cNvPicPr/>
                  </pic:nvPicPr>
                  <pic:blipFill>
                    <a:blip r:embed="rId17"/>
                    <a:stretch>
                      <a:fillRect/>
                    </a:stretch>
                  </pic:blipFill>
                  <pic:spPr>
                    <a:xfrm>
                      <a:off x="0" y="0"/>
                      <a:ext cx="5303520" cy="3409406"/>
                    </a:xfrm>
                    <a:prstGeom prst="rect"/>
                  </pic:spPr>
                </pic:pic>
              </a:graphicData>
            </a:graphic>
          </wp:inline>
        </w:drawing>
      </w:r>
    </w:p>
    <w:p>
      <w:pPr>
        <w:spacing w:before="40" w:after="200"/>
        <w:ind w:firstLine="0"/>
        <w:jc w:val="center"/>
      </w:pPr>
      <w:r>
        <w:rPr>
          <w:rFonts w:ascii="Times New Roman" w:hAnsi="Times New Roman"/>
          <w:b w:val="0"/>
          <w:i/>
          <w:sz w:val="20"/>
        </w:rPr>
        <w:t>Figure 9. Top-10 ranking: pure-Python heap ties the C-implemented sort.</w:t>
      </w:r>
    </w:p>
    <w:p>
      <w:pPr>
        <w:ind w:firstLine="0"/>
        <w:jc w:val="center"/>
      </w:pPr>
      <w:r>
        <w:drawing>
          <wp:inline xmlns:a="http://schemas.openxmlformats.org/drawingml/2006/main" xmlns:pic="http://schemas.openxmlformats.org/drawingml/2006/picture">
            <wp:extent cx="5669280" cy="2506419"/>
            <wp:docPr id="10" name="Picture 10"/>
            <wp:cNvGraphicFramePr>
              <a:graphicFrameLocks noChangeAspect="1"/>
            </wp:cNvGraphicFramePr>
            <a:graphic>
              <a:graphicData uri="http://schemas.openxmlformats.org/drawingml/2006/picture">
                <pic:pic>
                  <pic:nvPicPr>
                    <pic:cNvPr id="0" name="chart_pipeline.png"/>
                    <pic:cNvPicPr/>
                  </pic:nvPicPr>
                  <pic:blipFill>
                    <a:blip r:embed="rId18"/>
                    <a:stretch>
                      <a:fillRect/>
                    </a:stretch>
                  </pic:blipFill>
                  <pic:spPr>
                    <a:xfrm>
                      <a:off x="0" y="0"/>
                      <a:ext cx="5669280" cy="2506419"/>
                    </a:xfrm>
                    <a:prstGeom prst="rect"/>
                  </pic:spPr>
                </pic:pic>
              </a:graphicData>
            </a:graphic>
          </wp:inline>
        </w:drawing>
      </w:r>
    </w:p>
    <w:p>
      <w:pPr>
        <w:spacing w:before="40" w:after="200"/>
        <w:ind w:firstLine="0"/>
        <w:jc w:val="center"/>
      </w:pPr>
      <w:r>
        <w:rPr>
          <w:rFonts w:ascii="Times New Roman" w:hAnsi="Times New Roman"/>
          <w:b w:val="0"/>
          <w:i/>
          <w:sz w:val="20"/>
        </w:rPr>
        <w:t>Figure 10. Throughput and memory of the integrated system.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i w:val="0"/>
                <w:sz w:val="20"/>
              </w:rPr>
              <w:t>Operation (n = 100,000)</w:t>
            </w:r>
          </w:p>
        </w:tc>
        <w:tc>
          <w:tcPr>
            <w:tcW w:type="dxa" w:w="2340"/>
          </w:tcPr>
          <w:p>
            <w:r>
              <w:rPr>
                <w:rFonts w:ascii="Times New Roman" w:hAnsi="Times New Roman"/>
                <w:b/>
                <w:i w:val="0"/>
                <w:sz w:val="20"/>
              </w:rPr>
              <w:t>Naive baseline</w:t>
            </w:r>
          </w:p>
        </w:tc>
        <w:tc>
          <w:tcPr>
            <w:tcW w:type="dxa" w:w="2340"/>
          </w:tcPr>
          <w:p>
            <w:r>
              <w:rPr>
                <w:rFonts w:ascii="Times New Roman" w:hAnsi="Times New Roman"/>
                <w:b/>
                <w:i w:val="0"/>
                <w:sz w:val="20"/>
              </w:rPr>
              <w:t>Optimized structure</w:t>
            </w:r>
          </w:p>
        </w:tc>
        <w:tc>
          <w:tcPr>
            <w:tcW w:type="dxa" w:w="2340"/>
          </w:tcPr>
          <w:p>
            <w:r>
              <w:rPr>
                <w:rFonts w:ascii="Times New Roman" w:hAnsi="Times New Roman"/>
                <w:b/>
                <w:i w:val="0"/>
                <w:sz w:val="20"/>
              </w:rPr>
              <w:t>Gain</w:t>
            </w:r>
          </w:p>
        </w:tc>
      </w:tr>
      <w:tr>
        <w:tc>
          <w:tcPr>
            <w:tcW w:type="dxa" w:w="2340"/>
          </w:tcPr>
          <w:p>
            <w:r>
              <w:rPr>
                <w:rFonts w:ascii="Times New Roman" w:hAnsi="Times New Roman"/>
                <w:b w:val="0"/>
                <w:i w:val="0"/>
                <w:sz w:val="20"/>
              </w:rPr>
              <w:t>Catalog lookup</w:t>
            </w:r>
          </w:p>
        </w:tc>
        <w:tc>
          <w:tcPr>
            <w:tcW w:type="dxa" w:w="2340"/>
          </w:tcPr>
          <w:p>
            <w:r>
              <w:rPr>
                <w:rFonts w:ascii="Times New Roman" w:hAnsi="Times New Roman"/>
                <w:b w:val="0"/>
                <w:i w:val="0"/>
                <w:sz w:val="20"/>
              </w:rPr>
              <w:t>10.1 µs (fixed buckets)</w:t>
            </w:r>
          </w:p>
        </w:tc>
        <w:tc>
          <w:tcPr>
            <w:tcW w:type="dxa" w:w="2340"/>
          </w:tcPr>
          <w:p>
            <w:r>
              <w:rPr>
                <w:rFonts w:ascii="Times New Roman" w:hAnsi="Times New Roman"/>
                <w:b w:val="0"/>
                <w:i w:val="0"/>
                <w:sz w:val="20"/>
              </w:rPr>
              <w:t>2.2 µs (resizing)</w:t>
            </w:r>
          </w:p>
        </w:tc>
        <w:tc>
          <w:tcPr>
            <w:tcW w:type="dxa" w:w="2340"/>
          </w:tcPr>
          <w:p>
            <w:r>
              <w:rPr>
                <w:rFonts w:ascii="Times New Roman" w:hAnsi="Times New Roman"/>
                <w:b w:val="0"/>
                <w:i w:val="0"/>
                <w:sz w:val="20"/>
              </w:rPr>
              <w:t>4.6×</w:t>
            </w:r>
          </w:p>
        </w:tc>
      </w:tr>
      <w:tr>
        <w:tc>
          <w:tcPr>
            <w:tcW w:type="dxa" w:w="2340"/>
          </w:tcPr>
          <w:p>
            <w:r>
              <w:rPr>
                <w:rFonts w:ascii="Times New Roman" w:hAnsi="Times New Roman"/>
                <w:b w:val="0"/>
                <w:i w:val="0"/>
                <w:sz w:val="20"/>
              </w:rPr>
              <w:t>Prefix search</w:t>
            </w:r>
          </w:p>
        </w:tc>
        <w:tc>
          <w:tcPr>
            <w:tcW w:type="dxa" w:w="2340"/>
          </w:tcPr>
          <w:p>
            <w:r>
              <w:rPr>
                <w:rFonts w:ascii="Times New Roman" w:hAnsi="Times New Roman"/>
                <w:b w:val="0"/>
                <w:i w:val="0"/>
                <w:sz w:val="20"/>
              </w:rPr>
              <w:t>82.4 ms (linear scan)</w:t>
            </w:r>
          </w:p>
        </w:tc>
        <w:tc>
          <w:tcPr>
            <w:tcW w:type="dxa" w:w="2340"/>
          </w:tcPr>
          <w:p>
            <w:r>
              <w:rPr>
                <w:rFonts w:ascii="Times New Roman" w:hAnsi="Times New Roman"/>
                <w:b w:val="0"/>
                <w:i w:val="0"/>
                <w:sz w:val="20"/>
              </w:rPr>
              <w:t>1.83 ms (trie)</w:t>
            </w:r>
          </w:p>
        </w:tc>
        <w:tc>
          <w:tcPr>
            <w:tcW w:type="dxa" w:w="2340"/>
          </w:tcPr>
          <w:p>
            <w:r>
              <w:rPr>
                <w:rFonts w:ascii="Times New Roman" w:hAnsi="Times New Roman"/>
                <w:b w:val="0"/>
                <w:i w:val="0"/>
                <w:sz w:val="20"/>
              </w:rPr>
              <w:t>45×</w:t>
            </w:r>
          </w:p>
        </w:tc>
      </w:tr>
      <w:tr>
        <w:tc>
          <w:tcPr>
            <w:tcW w:type="dxa" w:w="2340"/>
          </w:tcPr>
          <w:p>
            <w:r>
              <w:rPr>
                <w:rFonts w:ascii="Times New Roman" w:hAnsi="Times New Roman"/>
                <w:b w:val="0"/>
                <w:i w:val="0"/>
                <w:sz w:val="20"/>
              </w:rPr>
              <w:t>Price-band query</w:t>
            </w:r>
          </w:p>
        </w:tc>
        <w:tc>
          <w:tcPr>
            <w:tcW w:type="dxa" w:w="2340"/>
          </w:tcPr>
          <w:p>
            <w:r>
              <w:rPr>
                <w:rFonts w:ascii="Times New Roman" w:hAnsi="Times New Roman"/>
                <w:b w:val="0"/>
                <w:i w:val="0"/>
                <w:sz w:val="20"/>
              </w:rPr>
              <w:t>6.9 ms (scan + sort)</w:t>
            </w:r>
          </w:p>
        </w:tc>
        <w:tc>
          <w:tcPr>
            <w:tcW w:type="dxa" w:w="2340"/>
          </w:tcPr>
          <w:p>
            <w:r>
              <w:rPr>
                <w:rFonts w:ascii="Times New Roman" w:hAnsi="Times New Roman"/>
                <w:b w:val="0"/>
                <w:i w:val="0"/>
                <w:sz w:val="20"/>
              </w:rPr>
              <w:t>1.2 ms (pruned BST)</w:t>
            </w:r>
          </w:p>
        </w:tc>
        <w:tc>
          <w:tcPr>
            <w:tcW w:type="dxa" w:w="2340"/>
          </w:tcPr>
          <w:p>
            <w:r>
              <w:rPr>
                <w:rFonts w:ascii="Times New Roman" w:hAnsi="Times New Roman"/>
                <w:b w:val="0"/>
                <w:i w:val="0"/>
                <w:sz w:val="20"/>
              </w:rPr>
              <w:t>5.7×</w:t>
            </w:r>
          </w:p>
        </w:tc>
      </w:tr>
      <w:tr>
        <w:tc>
          <w:tcPr>
            <w:tcW w:type="dxa" w:w="2340"/>
          </w:tcPr>
          <w:p>
            <w:r>
              <w:rPr>
                <w:rFonts w:ascii="Times New Roman" w:hAnsi="Times New Roman"/>
                <w:b w:val="0"/>
                <w:i w:val="0"/>
                <w:sz w:val="20"/>
              </w:rPr>
              <w:t>Top-10 ranking</w:t>
            </w:r>
          </w:p>
        </w:tc>
        <w:tc>
          <w:tcPr>
            <w:tcW w:type="dxa" w:w="2340"/>
          </w:tcPr>
          <w:p>
            <w:r>
              <w:rPr>
                <w:rFonts w:ascii="Times New Roman" w:hAnsi="Times New Roman"/>
                <w:b w:val="0"/>
                <w:i w:val="0"/>
                <w:sz w:val="20"/>
              </w:rPr>
              <w:t>74 ms (full sort)</w:t>
            </w:r>
          </w:p>
        </w:tc>
        <w:tc>
          <w:tcPr>
            <w:tcW w:type="dxa" w:w="2340"/>
          </w:tcPr>
          <w:p>
            <w:r>
              <w:rPr>
                <w:rFonts w:ascii="Times New Roman" w:hAnsi="Times New Roman"/>
                <w:b w:val="0"/>
                <w:i w:val="0"/>
                <w:sz w:val="20"/>
              </w:rPr>
              <w:t>76 ms (heap)</w:t>
            </w:r>
          </w:p>
        </w:tc>
        <w:tc>
          <w:tcPr>
            <w:tcW w:type="dxa" w:w="2340"/>
          </w:tcPr>
          <w:p>
            <w:r>
              <w:rPr>
                <w:rFonts w:ascii="Times New Roman" w:hAnsi="Times New Roman"/>
                <w:b w:val="0"/>
                <w:i w:val="0"/>
                <w:sz w:val="20"/>
              </w:rPr>
              <w:t>≈1× (tie)</w:t>
            </w:r>
          </w:p>
        </w:tc>
      </w:tr>
      <w:tr>
        <w:tc>
          <w:tcPr>
            <w:tcW w:type="dxa" w:w="2340"/>
          </w:tcPr>
          <w:p>
            <w:r>
              <w:rPr>
                <w:rFonts w:ascii="Times New Roman" w:hAnsi="Times New Roman"/>
                <w:b w:val="0"/>
                <w:i w:val="0"/>
                <w:sz w:val="20"/>
              </w:rPr>
              <w:t>Order fulfilment</w:t>
            </w:r>
          </w:p>
        </w:tc>
        <w:tc>
          <w:tcPr>
            <w:tcW w:type="dxa" w:w="2340"/>
          </w:tcPr>
          <w:p>
            <w:r>
              <w:rPr>
                <w:rFonts w:ascii="Times New Roman" w:hAnsi="Times New Roman"/>
                <w:b w:val="0"/>
                <w:i w:val="0"/>
                <w:sz w:val="20"/>
              </w:rPr>
              <w:t>—</w:t>
            </w:r>
          </w:p>
        </w:tc>
        <w:tc>
          <w:tcPr>
            <w:tcW w:type="dxa" w:w="2340"/>
          </w:tcPr>
          <w:p>
            <w:r>
              <w:rPr>
                <w:rFonts w:ascii="Times New Roman" w:hAnsi="Times New Roman"/>
                <w:b w:val="0"/>
                <w:i w:val="0"/>
                <w:sz w:val="20"/>
              </w:rPr>
              <w:t>44,422 orders/s end to end</w:t>
            </w:r>
          </w:p>
        </w:tc>
        <w:tc>
          <w:tcPr>
            <w:tcW w:type="dxa" w:w="2340"/>
          </w:tcPr>
          <w:p>
            <w:r>
              <w:rPr>
                <w:rFonts w:ascii="Times New Roman" w:hAnsi="Times New Roman"/>
                <w:b w:val="0"/>
                <w:i w:val="0"/>
                <w:sz w:val="20"/>
              </w:rPr>
              <w:t>—</w:t>
            </w:r>
          </w:p>
        </w:tc>
      </w:tr>
    </w:tbl>
    <w:p>
      <w:pPr>
        <w:spacing w:before="240" w:after="120"/>
        <w:ind w:firstLine="0"/>
      </w:pPr>
      <w:r>
        <w:rPr>
          <w:rFonts w:ascii="Times New Roman" w:hAnsi="Times New Roman"/>
          <w:b/>
          <w:i w:val="0"/>
          <w:sz w:val="24"/>
        </w:rPr>
        <w:t>Discussion: Impact and Practical Implications</w:t>
      </w:r>
    </w:p>
    <w:p>
      <w:pPr>
        <w:spacing w:line="480" w:lineRule="exact" w:before="0" w:after="0"/>
        <w:ind w:firstLine="720"/>
      </w:pPr>
      <w:r>
        <w:rPr>
          <w:rFonts w:ascii="Times New Roman" w:hAnsi="Times New Roman"/>
          <w:b w:val="0"/>
          <w:i w:val="0"/>
          <w:sz w:val="24"/>
        </w:rPr>
        <w:t>Three transferable conclusions emerge. First, composition beats generality: the platform's speed comes not from any single clever structure but from routing each workload to the structure whose asymptotics fit it, glued by a constant-time source of truth — the same architecture, at teaching scale, that production retailers run (Linden et al., 2003). Second, optimizations must be measured in their execution environment: the resize policy repaid itself five-fold, while the heap's textbook advantage evaporated against a C-implemented sort, and only measurement distinguishes the two cases. Third, worst cases documented at design time convert into cheap tests later: the monotone-insertion collapse and the flash-sale exhaustion were both predicted in Phase 1, and both surfaced in Phase 3 exactly as predicted, validating the discipline of writing risks down before writing code.</w:t>
      </w:r>
    </w:p>
    <w:p>
      <w:pPr>
        <w:spacing w:before="240" w:after="120"/>
        <w:ind w:firstLine="0"/>
      </w:pPr>
      <w:r>
        <w:rPr>
          <w:rFonts w:ascii="Times New Roman" w:hAnsi="Times New Roman"/>
          <w:b/>
          <w:i w:val="0"/>
          <w:sz w:val="24"/>
        </w:rPr>
        <w:t>Limitations and Future Directions</w:t>
      </w:r>
    </w:p>
    <w:p>
      <w:pPr>
        <w:spacing w:line="480" w:lineRule="exact" w:before="0" w:after="0"/>
        <w:ind w:firstLine="720"/>
      </w:pPr>
      <w:r>
        <w:rPr>
          <w:rFonts w:ascii="Times New Roman" w:hAnsi="Times New Roman"/>
          <w:b w:val="0"/>
          <w:i w:val="0"/>
          <w:sz w:val="24"/>
        </w:rPr>
        <w:t>The measured limitations chart the future work. The price tree needs self-balancing — AVL or red-black rotations, or a B-tree variant in the Bayer and McCreight (1972) tradition — before it can accept sorted bulk loads such as a supplier price file. The co-purchase graph grows monotonically; a long-lived deployment would add edge-weight decay or pruning so stale pairings age out. The trie's memory could be reduced by radix compression of single-child chains. Beyond structural work, the natural evolution of the recommendation subsystem is toward learned models (Zhang et al., 2019), for which the co-purchase graph built here supplies both the baseline and the training signal. Finally, a production system would shard these structures across processes to escape the interpreter constants the heap experiment exposed; the facade boundary makes that refactoring localized.</w:t>
      </w:r>
    </w:p>
    <w:p>
      <w:pPr>
        <w:spacing w:before="240" w:after="120"/>
        <w:ind w:firstLine="0"/>
      </w:pPr>
      <w:r>
        <w:rPr>
          <w:rFonts w:ascii="Times New Roman" w:hAnsi="Times New Roman"/>
          <w:b/>
          <w:i w:val="0"/>
          <w:sz w:val="24"/>
        </w:rPr>
        <w:t>Conclusion</w:t>
      </w:r>
    </w:p>
    <w:p>
      <w:pPr>
        <w:spacing w:line="480" w:lineRule="exact" w:before="0" w:after="0"/>
        <w:ind w:firstLine="720"/>
      </w:pPr>
      <w:r>
        <w:rPr>
          <w:rFonts w:ascii="Times New Roman" w:hAnsi="Times New Roman"/>
          <w:b w:val="0"/>
          <w:i w:val="0"/>
          <w:sz w:val="24"/>
        </w:rPr>
        <w:t>The project set out to translate data-structure theory into a working, measured system and closes with that translation complete: six structures implemented from scratch, proven correct by forty-two tests, integrated into one platform that fulfils tens of thousands of orders per second, and evaluated honestly against baselines — including the one experiment where theory's promise was consumed by constant factors. The exercise demonstrated in miniature the daily engineering reality of the e-commerce domain: asymptotics choose the candidates, but measurement chooses the winners.</w:t>
      </w:r>
    </w:p>
    <w:p>
      <w:r>
        <w:br w:type="page"/>
      </w:r>
    </w:p>
    <w:p>
      <w:pPr>
        <w:ind w:firstLine="0"/>
        <w:jc w:val="center"/>
      </w:pPr>
      <w:r>
        <w:rPr>
          <w:rFonts w:ascii="Times New Roman" w:hAnsi="Times New Roman"/>
          <w:b/>
          <w:i w:val="0"/>
          <w:sz w:val="24"/>
        </w:rPr>
        <w:t>References</w:t>
      </w:r>
    </w:p>
    <w:p>
      <w:pPr>
        <w:spacing w:line="480" w:lineRule="exact" w:before="0" w:after="0"/>
        <w:ind w:left="720" w:hanging="720"/>
      </w:pPr>
      <w:r>
        <w:rPr>
          <w:rFonts w:ascii="Times New Roman" w:hAnsi="Times New Roman"/>
          <w:b w:val="0"/>
          <w:i w:val="0"/>
          <w:sz w:val="24"/>
        </w:rPr>
        <w:t>Bayer, R., &amp; McCreight, E. (1972). Organization and maintenance of large ordered indexes. Acta Informatica, 1(3), 173–189. https://doi.org/10.1007/BF00288683</w:t>
      </w:r>
    </w:p>
    <w:p>
      <w:pPr>
        <w:spacing w:line="480" w:lineRule="exact" w:before="0" w:after="0"/>
        <w:ind w:left="720" w:hanging="720"/>
      </w:pPr>
      <w:r>
        <w:rPr>
          <w:rFonts w:ascii="Times New Roman" w:hAnsi="Times New Roman"/>
          <w:b w:val="0"/>
          <w:i w:val="0"/>
          <w:sz w:val="24"/>
        </w:rPr>
        <w:t>Cormen, T. H., Leiserson, C. E., Rivest, R. L., &amp; Stein, C. (2022). Introduction to algorithms (4th ed.). MIT Press.</w:t>
      </w:r>
    </w:p>
    <w:p>
      <w:pPr>
        <w:spacing w:line="480" w:lineRule="exact" w:before="0" w:after="0"/>
        <w:ind w:left="720" w:hanging="720"/>
      </w:pPr>
      <w:r>
        <w:rPr>
          <w:rFonts w:ascii="Times New Roman" w:hAnsi="Times New Roman"/>
          <w:b w:val="0"/>
          <w:i w:val="0"/>
          <w:sz w:val="24"/>
        </w:rPr>
        <w:t>Fredkin, E. (1960). Trie memory. Communications of the ACM, 3(9), 490–499. https://doi.org/10.1145/367390.367400</w:t>
      </w:r>
    </w:p>
    <w:p>
      <w:pPr>
        <w:spacing w:line="480" w:lineRule="exact" w:before="0" w:after="0"/>
        <w:ind w:left="720" w:hanging="720"/>
      </w:pPr>
      <w:r>
        <w:rPr>
          <w:rFonts w:ascii="Times New Roman" w:hAnsi="Times New Roman"/>
          <w:b w:val="0"/>
          <w:i w:val="0"/>
          <w:sz w:val="24"/>
        </w:rPr>
        <w:t>Knuth, D. E. (1998). The art of computer programming: Vol. 3. Sorting and searching (2nd ed.). Addison-Wesley.</w:t>
      </w:r>
    </w:p>
    <w:p>
      <w:pPr>
        <w:spacing w:line="480" w:lineRule="exact" w:before="0" w:after="0"/>
        <w:ind w:left="720" w:hanging="720"/>
      </w:pPr>
      <w:r>
        <w:rPr>
          <w:rFonts w:ascii="Times New Roman" w:hAnsi="Times New Roman"/>
          <w:b w:val="0"/>
          <w:i w:val="0"/>
          <w:sz w:val="24"/>
        </w:rPr>
        <w:t>Linden, G., Smith, B., &amp; York, J. (2003). Amazon.com recommendations: Item-to-item collaborative filtering. IEEE Internet Computing, 7(1), 76–80. https://doi.org/10.1109/MIC.2003.1167344</w:t>
      </w:r>
    </w:p>
    <w:p>
      <w:pPr>
        <w:spacing w:line="480" w:lineRule="exact" w:before="0" w:after="0"/>
        <w:ind w:left="720" w:hanging="720"/>
      </w:pPr>
      <w:r>
        <w:rPr>
          <w:rFonts w:ascii="Times New Roman" w:hAnsi="Times New Roman"/>
          <w:b w:val="0"/>
          <w:i w:val="0"/>
          <w:sz w:val="24"/>
        </w:rPr>
        <w:t>Pagh, R., &amp; Rodler, F. F. (2004). Cuckoo hashing. Journal of Algorithms, 51(2), 122–144. https://doi.org/10.1016/j.jalgor.2003.12.002</w:t>
      </w:r>
    </w:p>
    <w:p>
      <w:pPr>
        <w:spacing w:line="480" w:lineRule="exact" w:before="0" w:after="0"/>
        <w:ind w:left="720" w:hanging="720"/>
      </w:pPr>
      <w:r>
        <w:rPr>
          <w:rFonts w:ascii="Times New Roman" w:hAnsi="Times New Roman"/>
          <w:b w:val="0"/>
          <w:i w:val="0"/>
          <w:sz w:val="24"/>
        </w:rPr>
        <w:t>Sarwar, B., Karypis, G., Konstan, J., &amp; Riedl, J. (2001). Item-based collaborative filtering recommendation algorithms. Proceedings of the 10th International Conference on World Wide Web, 285–295. https://doi.org/10.1145/371920.372071</w:t>
      </w:r>
    </w:p>
    <w:p>
      <w:pPr>
        <w:spacing w:line="480" w:lineRule="exact" w:before="0" w:after="0"/>
        <w:ind w:left="720" w:hanging="720"/>
      </w:pPr>
      <w:r>
        <w:rPr>
          <w:rFonts w:ascii="Times New Roman" w:hAnsi="Times New Roman"/>
          <w:b w:val="0"/>
          <w:i w:val="0"/>
          <w:sz w:val="24"/>
        </w:rPr>
        <w:t>Zhang, S., Yao, L., Sun, A., &amp; Tay, Y. (2019). Deep learning based recommender system: A survey and new perspectives. ACM Computing Surveys, 52(1), Article 5. https://doi.org/10.1145/3285029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