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Santa Rosa County</w:t>
      </w:r>
    </w:p>
    <w:p>
      <w:pPr>
        <w:pStyle w:val="Author"/>
      </w:pPr>
      <w:r>
        <w:t xml:space="preserve">A data report for the Santa Rosa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Laura Tiu, Florida Sea Grant Extension Agent Santa Rosa County,</w:t>
      </w:r>
      <w:r>
        <w:t xml:space="preserve"> </w:t>
      </w:r>
      <w:hyperlink r:id="rId21">
        <w:r>
          <w:rPr>
            <w:rStyle w:val="Hyperlink"/>
          </w:rPr>
          <w:t xml:space="preserve">lgtiu@ufl.edu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NW Panhandle region</w:t>
      </w:r>
      <w:r>
        <w:t xml:space="preserve">: refers to the areas of and marine waters adjacent to Escambia, Santa Rosa, Okaloosa and Walton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Santa Rosa County Government and Tourist Development Council.</w:t>
      </w:r>
      <w:r>
        <w:t xml:space="preserve"> </w:t>
      </w:r>
      <w:r>
        <w:rPr>
          <w:b/>
          <w:bCs/>
        </w:rPr>
        <w:t xml:space="preserve">Specifically this information can be used to inform for-hire fishing-related tourism in Santa Rosa County.</w:t>
      </w:r>
    </w:p>
    <w:p>
      <w:pPr>
        <w:pStyle w:val="BodyText"/>
      </w:pPr>
      <w:r>
        <w:rPr>
          <w:i/>
          <w:iCs/>
        </w:rPr>
        <w:t xml:space="preserve">What this report can be used for</w:t>
      </w:r>
      <w:r>
        <w:br/>
      </w:r>
      <w:r>
        <w:t xml:space="preserve">This report is designed to provide information about marine recreational for-hire fishing dynamics in Santa Rosa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Santa Rosa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Santa Rosa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Santa Rosa County reside in other counties, these anglers may be interested in Santa Rosa County rule changes.</w:t>
      </w:r>
    </w:p>
    <w:p>
      <w:pPr>
        <w:pStyle w:val="FirstParagraph"/>
      </w:pPr>
      <w:r>
        <w:t xml:space="preserve">Together, this information is intended to help the local for-hire fishing industry and related tourism industry of Santa Rosa County. It may also be useful to the the Santa Rosa County Government and Tourist Development Council, especially if they work with or on behalf of the for-hire fishing industry to promote marine for-hire fishing-based tourism in Santa Rosa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Santa Rosa County—i.e. the trips where anglers’ fishing destination was in marine waters adjacent to Santa Rosa County, regardless of where the origin was. Once we have isolated the trips occurring in Santa Rosa County, we can analyze where most of these trips came from. Specifically, we can look at things like:</w:t>
      </w:r>
    </w:p>
    <w:p>
      <w:pPr>
        <w:pStyle w:val="Compact"/>
        <w:numPr>
          <w:ilvl w:val="0"/>
          <w:numId w:val="1004"/>
        </w:numPr>
      </w:pPr>
      <w:r>
        <w:t xml:space="preserve">The percent of for-hire trips sampled in Santa Rosa County that come from out-of-state origins.</w:t>
      </w:r>
    </w:p>
    <w:p>
      <w:pPr>
        <w:pStyle w:val="Compact"/>
        <w:numPr>
          <w:ilvl w:val="0"/>
          <w:numId w:val="1004"/>
        </w:numPr>
      </w:pPr>
      <w:r>
        <w:t xml:space="preserve">The percent of for-hire trips sampled in Santa Rosa County with in-state origins.</w:t>
      </w:r>
    </w:p>
    <w:p>
      <w:pPr>
        <w:pStyle w:val="Compact"/>
        <w:numPr>
          <w:ilvl w:val="0"/>
          <w:numId w:val="1004"/>
        </w:numPr>
      </w:pPr>
      <w:r>
        <w:t xml:space="preserve">The percent of for-hire trips sampled in Santa Rosa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NW Panhandle region and Santa Rosa County.</w:t>
      </w:r>
      <w:r>
        <w:br/>
      </w:r>
      <w:r>
        <w:rPr>
          <w:b/>
          <w:bCs/>
        </w:rPr>
        <w:t xml:space="preserve">Table 1</w:t>
      </w:r>
      <w:r>
        <w:t xml:space="preserve"> </w:t>
      </w:r>
      <w:r>
        <w:t xml:space="preserve">compares the states that out-of-state for-hire anglers come from when they fish either anywhere in Florida, the NW Panhandle region, or specifically Santa Rosa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NW Panhandle region, (</w:t>
      </w:r>
      <w:r>
        <w:rPr>
          <w:i/>
          <w:iCs/>
        </w:rPr>
        <w:t xml:space="preserve">ii</w:t>
      </w:r>
      <w:r>
        <w:t xml:space="preserve">) living outside of Santa Rosa County, and (</w:t>
      </w:r>
      <w:r>
        <w:rPr>
          <w:i/>
          <w:iCs/>
        </w:rPr>
        <w:t xml:space="preserve">iii</w:t>
      </w:r>
      <w:r>
        <w:t xml:space="preserve">) living anywhere in Florida, including Santa Rosa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Santa Rosa County come from, which may inform placement of fishing and tourism advertisements.</w:t>
      </w:r>
    </w:p>
    <w:p>
      <w:pPr>
        <w:pStyle w:val="Compact"/>
        <w:numPr>
          <w:ilvl w:val="0"/>
          <w:numId w:val="1006"/>
        </w:numPr>
      </w:pPr>
      <w:r>
        <w:t xml:space="preserve">Understanding how for-hire angler origins may differ between Santa Rosa County and surrounding areas. This can potentially be used to further fine tune efficient advertisement placement by identifying locations where Santa Rosa County may compete more or less with nearby counties for angling visitors.</w:t>
      </w:r>
    </w:p>
    <w:p>
      <w:pPr>
        <w:pStyle w:val="Compact"/>
        <w:numPr>
          <w:ilvl w:val="0"/>
          <w:numId w:val="1006"/>
        </w:numPr>
      </w:pPr>
      <w:r>
        <w:t xml:space="preserve">Understanding what proportion of for-hire anglers fishing Santa Rosa County are local vs. visitors, which may be useful for deciding where to have meetings about Santa Rosa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56"/>
        <w:gridCol w:w="676"/>
        <w:gridCol w:w="2233"/>
        <w:gridCol w:w="676"/>
        <w:gridCol w:w="2098"/>
        <w:gridCol w:w="67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NW Panhandle</w:t>
            </w:r>
          </w:p>
        </w:tc>
        <w:tc>
          <w:tcPr/>
          <w:p>
            <w:pPr>
              <w:pStyle w:val="Compact"/>
              <w:jc w:val="right"/>
            </w:pPr>
            <w:r>
              <w:t xml:space="preserve">Per. (%)</w:t>
            </w:r>
          </w:p>
        </w:tc>
        <w:tc>
          <w:tcPr/>
          <w:p>
            <w:pPr>
              <w:pStyle w:val="Compact"/>
              <w:jc w:val="left"/>
            </w:pPr>
            <w:r>
              <w:t xml:space="preserve">Origin when fishing Santa Rosa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Texas</w:t>
            </w:r>
          </w:p>
        </w:tc>
        <w:tc>
          <w:tcPr/>
          <w:p>
            <w:pPr>
              <w:pStyle w:val="Compact"/>
              <w:jc w:val="right"/>
            </w:pPr>
            <w:r>
              <w:t xml:space="preserve">14.0</w:t>
            </w:r>
          </w:p>
        </w:tc>
        <w:tc>
          <w:tcPr/>
          <w:p>
            <w:pPr>
              <w:pStyle w:val="Compact"/>
              <w:jc w:val="left"/>
            </w:pPr>
            <w:r>
              <w:t xml:space="preserve">Texas</w:t>
            </w:r>
          </w:p>
        </w:tc>
        <w:tc>
          <w:tcPr/>
          <w:p>
            <w:pPr>
              <w:pStyle w:val="Compact"/>
              <w:jc w:val="right"/>
            </w:pPr>
            <w:r>
              <w:t xml:space="preserve">22.0</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Georgia</w:t>
            </w:r>
          </w:p>
        </w:tc>
        <w:tc>
          <w:tcPr/>
          <w:p>
            <w:pPr>
              <w:pStyle w:val="Compact"/>
              <w:jc w:val="right"/>
            </w:pPr>
            <w:r>
              <w:t xml:space="preserve">13.0</w:t>
            </w:r>
          </w:p>
        </w:tc>
        <w:tc>
          <w:tcPr/>
          <w:p>
            <w:pPr>
              <w:pStyle w:val="Compact"/>
              <w:jc w:val="left"/>
            </w:pPr>
            <w:r>
              <w:t xml:space="preserve">Oklahoma</w:t>
            </w:r>
          </w:p>
        </w:tc>
        <w:tc>
          <w:tcPr/>
          <w:p>
            <w:pPr>
              <w:pStyle w:val="Compact"/>
              <w:jc w:val="right"/>
            </w:pPr>
            <w:r>
              <w:t xml:space="preserve">14.5</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Tennessee</w:t>
            </w:r>
          </w:p>
        </w:tc>
        <w:tc>
          <w:tcPr/>
          <w:p>
            <w:pPr>
              <w:pStyle w:val="Compact"/>
              <w:jc w:val="right"/>
            </w:pPr>
            <w:r>
              <w:t xml:space="preserve">11.6</w:t>
            </w:r>
          </w:p>
        </w:tc>
        <w:tc>
          <w:tcPr/>
          <w:p>
            <w:pPr>
              <w:pStyle w:val="Compact"/>
              <w:jc w:val="left"/>
            </w:pPr>
            <w:r>
              <w:t xml:space="preserve">Georgia</w:t>
            </w:r>
          </w:p>
        </w:tc>
        <w:tc>
          <w:tcPr/>
          <w:p>
            <w:pPr>
              <w:pStyle w:val="Compact"/>
              <w:jc w:val="right"/>
            </w:pPr>
            <w:r>
              <w:t xml:space="preserve">13.3</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Alabama</w:t>
            </w:r>
          </w:p>
        </w:tc>
        <w:tc>
          <w:tcPr/>
          <w:p>
            <w:pPr>
              <w:pStyle w:val="Compact"/>
              <w:jc w:val="right"/>
            </w:pPr>
            <w:r>
              <w:t xml:space="preserve">11.3</w:t>
            </w:r>
          </w:p>
        </w:tc>
        <w:tc>
          <w:tcPr/>
          <w:p>
            <w:pPr>
              <w:pStyle w:val="Compact"/>
              <w:jc w:val="left"/>
            </w:pPr>
            <w:r>
              <w:t xml:space="preserve">Tennessee</w:t>
            </w:r>
          </w:p>
        </w:tc>
        <w:tc>
          <w:tcPr/>
          <w:p>
            <w:pPr>
              <w:pStyle w:val="Compact"/>
              <w:jc w:val="right"/>
            </w:pPr>
            <w:r>
              <w:t xml:space="preserve">11.0</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Missouri</w:t>
            </w:r>
          </w:p>
        </w:tc>
        <w:tc>
          <w:tcPr/>
          <w:p>
            <w:pPr>
              <w:pStyle w:val="Compact"/>
              <w:jc w:val="right"/>
            </w:pPr>
            <w:r>
              <w:t xml:space="preserve">5.0</w:t>
            </w:r>
          </w:p>
        </w:tc>
        <w:tc>
          <w:tcPr/>
          <w:p>
            <w:pPr>
              <w:pStyle w:val="Compact"/>
              <w:jc w:val="left"/>
            </w:pPr>
            <w:r>
              <w:t xml:space="preserve">Alabama</w:t>
            </w:r>
          </w:p>
        </w:tc>
        <w:tc>
          <w:tcPr/>
          <w:p>
            <w:pPr>
              <w:pStyle w:val="Compact"/>
              <w:jc w:val="right"/>
            </w:pPr>
            <w:r>
              <w:t xml:space="preserve">9.2</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Louisiana</w:t>
            </w:r>
          </w:p>
        </w:tc>
        <w:tc>
          <w:tcPr/>
          <w:p>
            <w:pPr>
              <w:pStyle w:val="Compact"/>
              <w:jc w:val="right"/>
            </w:pPr>
            <w:r>
              <w:t xml:space="preserve">4.4</w:t>
            </w:r>
          </w:p>
        </w:tc>
        <w:tc>
          <w:tcPr/>
          <w:p>
            <w:pPr>
              <w:pStyle w:val="Compact"/>
              <w:jc w:val="left"/>
            </w:pPr>
            <w:r>
              <w:t xml:space="preserve">Kentucky</w:t>
            </w:r>
          </w:p>
        </w:tc>
        <w:tc>
          <w:tcPr/>
          <w:p>
            <w:pPr>
              <w:pStyle w:val="Compact"/>
              <w:jc w:val="right"/>
            </w:pPr>
            <w:r>
              <w:t xml:space="preserve">6.9</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Mississippi</w:t>
            </w:r>
          </w:p>
        </w:tc>
        <w:tc>
          <w:tcPr/>
          <w:p>
            <w:pPr>
              <w:pStyle w:val="Compact"/>
              <w:jc w:val="right"/>
            </w:pPr>
            <w:r>
              <w:t xml:space="preserve">4.2</w:t>
            </w:r>
          </w:p>
        </w:tc>
        <w:tc>
          <w:tcPr/>
          <w:p>
            <w:pPr>
              <w:pStyle w:val="Compact"/>
              <w:jc w:val="left"/>
            </w:pPr>
            <w:r>
              <w:t xml:space="preserve">Arkansas</w:t>
            </w:r>
          </w:p>
        </w:tc>
        <w:tc>
          <w:tcPr/>
          <w:p>
            <w:pPr>
              <w:pStyle w:val="Compact"/>
              <w:jc w:val="right"/>
            </w:pPr>
            <w:r>
              <w:t xml:space="preserve">5.2</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Arkansas</w:t>
            </w:r>
          </w:p>
        </w:tc>
        <w:tc>
          <w:tcPr/>
          <w:p>
            <w:pPr>
              <w:pStyle w:val="Compact"/>
              <w:jc w:val="right"/>
            </w:pPr>
            <w:r>
              <w:t xml:space="preserve">3.9</w:t>
            </w:r>
          </w:p>
        </w:tc>
        <w:tc>
          <w:tcPr/>
          <w:p>
            <w:pPr>
              <w:pStyle w:val="Compact"/>
              <w:jc w:val="left"/>
            </w:pPr>
            <w:r>
              <w:t xml:space="preserve">Illinois</w:t>
            </w:r>
          </w:p>
        </w:tc>
        <w:tc>
          <w:tcPr/>
          <w:p>
            <w:pPr>
              <w:pStyle w:val="Compact"/>
              <w:jc w:val="right"/>
            </w:pPr>
            <w:r>
              <w:t xml:space="preserve">4.6</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Kentucky</w:t>
            </w:r>
          </w:p>
        </w:tc>
        <w:tc>
          <w:tcPr/>
          <w:p>
            <w:pPr>
              <w:pStyle w:val="Compact"/>
              <w:jc w:val="right"/>
            </w:pPr>
            <w:r>
              <w:t xml:space="preserve">3.7</w:t>
            </w:r>
          </w:p>
        </w:tc>
        <w:tc>
          <w:tcPr/>
          <w:p>
            <w:pPr>
              <w:pStyle w:val="Compact"/>
              <w:jc w:val="left"/>
            </w:pPr>
            <w:r>
              <w:t xml:space="preserve">Michigan</w:t>
            </w:r>
          </w:p>
        </w:tc>
        <w:tc>
          <w:tcPr/>
          <w:p>
            <w:pPr>
              <w:pStyle w:val="Compact"/>
              <w:jc w:val="right"/>
            </w:pPr>
            <w:r>
              <w:t xml:space="preserve">2.9</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Oklahoma</w:t>
            </w:r>
          </w:p>
        </w:tc>
        <w:tc>
          <w:tcPr/>
          <w:p>
            <w:pPr>
              <w:pStyle w:val="Compact"/>
              <w:jc w:val="right"/>
            </w:pPr>
            <w:r>
              <w:t xml:space="preserve">3.3</w:t>
            </w:r>
          </w:p>
        </w:tc>
        <w:tc>
          <w:tcPr/>
          <w:p>
            <w:pPr>
              <w:pStyle w:val="Compact"/>
              <w:jc w:val="left"/>
            </w:pPr>
            <w:r>
              <w:t xml:space="preserve">Missouri</w:t>
            </w:r>
          </w:p>
        </w:tc>
        <w:tc>
          <w:tcPr/>
          <w:p>
            <w:pPr>
              <w:pStyle w:val="Compact"/>
              <w:jc w:val="right"/>
            </w:pPr>
            <w:r>
              <w:t xml:space="preserve">2.3</w:t>
            </w:r>
          </w:p>
        </w:tc>
      </w:tr>
    </w:tbl>
    <w:p>
      <w:pPr>
        <w:pStyle w:val="BodyText"/>
      </w:pPr>
      <w:r>
        <w:rPr>
          <w:b/>
          <w:bCs/>
        </w:rPr>
        <w:t xml:space="preserve">Table 1. Where out-of-state for-hire anglers came from when they fished Florida, the NW Panhandle region, and Santa Rosa County, for 2014-2024.</w:t>
      </w:r>
      <w:r>
        <w:br/>
      </w:r>
      <w:r>
        <w:t xml:space="preserve">This table shows the top ten states that out-of-state for-hire anglers come from when they fish in Florida. It allows comparisons of out-of-state origins for Florida as a whole, the NW Panhandle region (here defined as including Escambia, Santa Rosa, Okaloosa and Walton counties), and Santa Rosa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NW Panhandle</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Santa Rosa</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Santa Rosa County come from, and (</w:t>
      </w:r>
      <w:r>
        <w:rPr>
          <w:i/>
          <w:iCs/>
        </w:rPr>
        <w:t xml:space="preserve">ii</w:t>
      </w:r>
      <w:r>
        <w:t xml:space="preserve">) how that compares to the local region and broader state of Florida. This may be helpful for understanding if Santa Rosa County is attracting anglers from specific origins differently than the surrounding region of the NW Panhandle,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55"/>
        <w:gridCol w:w="977"/>
        <w:gridCol w:w="1955"/>
        <w:gridCol w:w="977"/>
        <w:gridCol w:w="1075"/>
        <w:gridCol w:w="977"/>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18.1</w:t>
            </w:r>
          </w:p>
        </w:tc>
        <w:tc>
          <w:tcPr/>
          <w:p>
            <w:pPr>
              <w:pStyle w:val="Compact"/>
              <w:jc w:val="left"/>
            </w:pPr>
            <w:r>
              <w:t xml:space="preserve">Escambia</w:t>
            </w:r>
          </w:p>
        </w:tc>
        <w:tc>
          <w:tcPr/>
          <w:p>
            <w:pPr>
              <w:pStyle w:val="Compact"/>
              <w:jc w:val="right"/>
            </w:pPr>
            <w:r>
              <w:t xml:space="preserve">57.7</w:t>
            </w:r>
          </w:p>
        </w:tc>
        <w:tc>
          <w:tcPr/>
          <w:p>
            <w:pPr>
              <w:pStyle w:val="Compact"/>
              <w:jc w:val="left"/>
            </w:pPr>
            <w:r>
              <w:t xml:space="preserve">Escambia</w:t>
            </w:r>
          </w:p>
        </w:tc>
        <w:tc>
          <w:tcPr/>
          <w:p>
            <w:pPr>
              <w:pStyle w:val="Compact"/>
              <w:jc w:val="right"/>
            </w:pPr>
            <w:r>
              <w:t xml:space="preserve">40.5</w:t>
            </w:r>
          </w:p>
        </w:tc>
      </w:tr>
      <w:tr>
        <w:tc>
          <w:tcPr/>
          <w:p>
            <w:pPr>
              <w:pStyle w:val="Compact"/>
              <w:jc w:val="left"/>
            </w:pPr>
            <w:r>
              <w:t xml:space="preserve">Hillsborough</w:t>
            </w:r>
          </w:p>
        </w:tc>
        <w:tc>
          <w:tcPr/>
          <w:p>
            <w:pPr>
              <w:pStyle w:val="Compact"/>
              <w:jc w:val="right"/>
            </w:pPr>
            <w:r>
              <w:t xml:space="preserve">7.4</w:t>
            </w:r>
          </w:p>
        </w:tc>
        <w:tc>
          <w:tcPr/>
          <w:p>
            <w:pPr>
              <w:pStyle w:val="Compact"/>
              <w:jc w:val="left"/>
            </w:pPr>
            <w:r>
              <w:t xml:space="preserve">Charlotte</w:t>
            </w:r>
          </w:p>
        </w:tc>
        <w:tc>
          <w:tcPr/>
          <w:p>
            <w:pPr>
              <w:pStyle w:val="Compact"/>
              <w:jc w:val="right"/>
            </w:pPr>
            <w:r>
              <w:t xml:space="preserve">15.4</w:t>
            </w:r>
          </w:p>
        </w:tc>
        <w:tc>
          <w:tcPr/>
          <w:p>
            <w:pPr>
              <w:pStyle w:val="Compact"/>
              <w:jc w:val="left"/>
            </w:pPr>
            <w:r>
              <w:t xml:space="preserve">Santa Rosa</w:t>
            </w:r>
          </w:p>
        </w:tc>
        <w:tc>
          <w:tcPr/>
          <w:p>
            <w:pPr>
              <w:pStyle w:val="Compact"/>
              <w:jc w:val="right"/>
            </w:pPr>
            <w:r>
              <w:t xml:space="preserve">29.7</w:t>
            </w:r>
          </w:p>
        </w:tc>
      </w:tr>
      <w:tr>
        <w:tc>
          <w:tcPr/>
          <w:p>
            <w:pPr>
              <w:pStyle w:val="Compact"/>
              <w:jc w:val="left"/>
            </w:pPr>
            <w:r>
              <w:t xml:space="preserve">Duval</w:t>
            </w:r>
          </w:p>
        </w:tc>
        <w:tc>
          <w:tcPr/>
          <w:p>
            <w:pPr>
              <w:pStyle w:val="Compact"/>
              <w:jc w:val="right"/>
            </w:pPr>
            <w:r>
              <w:t xml:space="preserve">6.7</w:t>
            </w:r>
          </w:p>
        </w:tc>
        <w:tc>
          <w:tcPr/>
          <w:p>
            <w:pPr>
              <w:pStyle w:val="Compact"/>
              <w:jc w:val="left"/>
            </w:pPr>
            <w:r>
              <w:t xml:space="preserve">Okaloosa</w:t>
            </w:r>
          </w:p>
        </w:tc>
        <w:tc>
          <w:tcPr/>
          <w:p>
            <w:pPr>
              <w:pStyle w:val="Compact"/>
              <w:jc w:val="right"/>
            </w:pPr>
            <w:r>
              <w:t xml:space="preserve">15.4</w:t>
            </w:r>
          </w:p>
        </w:tc>
        <w:tc>
          <w:tcPr/>
          <w:p>
            <w:pPr>
              <w:pStyle w:val="Compact"/>
              <w:jc w:val="left"/>
            </w:pPr>
            <w:r>
              <w:t xml:space="preserve">Charlotte</w:t>
            </w:r>
          </w:p>
        </w:tc>
        <w:tc>
          <w:tcPr/>
          <w:p>
            <w:pPr>
              <w:pStyle w:val="Compact"/>
              <w:jc w:val="right"/>
            </w:pPr>
            <w:r>
              <w:t xml:space="preserve">10.8</w:t>
            </w:r>
          </w:p>
        </w:tc>
      </w:tr>
      <w:tr>
        <w:tc>
          <w:tcPr/>
          <w:p>
            <w:pPr>
              <w:pStyle w:val="Compact"/>
              <w:jc w:val="left"/>
            </w:pPr>
            <w:r>
              <w:t xml:space="preserve">Bay</w:t>
            </w:r>
          </w:p>
        </w:tc>
        <w:tc>
          <w:tcPr/>
          <w:p>
            <w:pPr>
              <w:pStyle w:val="Compact"/>
              <w:jc w:val="right"/>
            </w:pPr>
            <w:r>
              <w:t xml:space="preserve">5.6</w:t>
            </w:r>
          </w:p>
        </w:tc>
        <w:tc>
          <w:tcPr/>
          <w:p>
            <w:pPr>
              <w:pStyle w:val="Compact"/>
              <w:jc w:val="left"/>
            </w:pPr>
            <w:r>
              <w:t xml:space="preserve">Leon</w:t>
            </w:r>
          </w:p>
        </w:tc>
        <w:tc>
          <w:tcPr/>
          <w:p>
            <w:pPr>
              <w:pStyle w:val="Compact"/>
              <w:jc w:val="right"/>
            </w:pPr>
            <w:r>
              <w:t xml:space="preserve">3.8</w:t>
            </w:r>
          </w:p>
        </w:tc>
        <w:tc>
          <w:tcPr/>
          <w:p>
            <w:pPr>
              <w:pStyle w:val="Compact"/>
              <w:jc w:val="left"/>
            </w:pPr>
            <w:r>
              <w:t xml:space="preserve">Okaloosa</w:t>
            </w:r>
          </w:p>
        </w:tc>
        <w:tc>
          <w:tcPr/>
          <w:p>
            <w:pPr>
              <w:pStyle w:val="Compact"/>
              <w:jc w:val="right"/>
            </w:pPr>
            <w:r>
              <w:t xml:space="preserve">10.8</w:t>
            </w:r>
          </w:p>
        </w:tc>
      </w:tr>
      <w:tr>
        <w:tc>
          <w:tcPr/>
          <w:p>
            <w:pPr>
              <w:pStyle w:val="Compact"/>
              <w:jc w:val="left"/>
            </w:pPr>
            <w:r>
              <w:t xml:space="preserve">Orange</w:t>
            </w:r>
          </w:p>
        </w:tc>
        <w:tc>
          <w:tcPr/>
          <w:p>
            <w:pPr>
              <w:pStyle w:val="Compact"/>
              <w:jc w:val="right"/>
            </w:pPr>
            <w:r>
              <w:t xml:space="preserve">5.6</w:t>
            </w:r>
          </w:p>
        </w:tc>
        <w:tc>
          <w:tcPr/>
          <w:p>
            <w:pPr>
              <w:pStyle w:val="Compact"/>
              <w:jc w:val="left"/>
            </w:pPr>
            <w:r>
              <w:t xml:space="preserve">Wakulla</w:t>
            </w:r>
          </w:p>
        </w:tc>
        <w:tc>
          <w:tcPr/>
          <w:p>
            <w:pPr>
              <w:pStyle w:val="Compact"/>
              <w:jc w:val="right"/>
            </w:pPr>
            <w:r>
              <w:t xml:space="preserve">3.8</w:t>
            </w:r>
          </w:p>
        </w:tc>
        <w:tc>
          <w:tcPr/>
          <w:p>
            <w:pPr>
              <w:pStyle w:val="Compact"/>
              <w:jc w:val="left"/>
            </w:pPr>
            <w:r>
              <w:t xml:space="preserve">Leon</w:t>
            </w:r>
          </w:p>
        </w:tc>
        <w:tc>
          <w:tcPr/>
          <w:p>
            <w:pPr>
              <w:pStyle w:val="Compact"/>
              <w:jc w:val="right"/>
            </w:pPr>
            <w:r>
              <w:t xml:space="preserve">2.7</w:t>
            </w:r>
          </w:p>
        </w:tc>
      </w:tr>
      <w:tr>
        <w:tc>
          <w:tcPr/>
          <w:p>
            <w:pPr>
              <w:pStyle w:val="Compact"/>
              <w:jc w:val="left"/>
            </w:pPr>
            <w:r>
              <w:t xml:space="preserve">Palm Beach</w:t>
            </w:r>
          </w:p>
        </w:tc>
        <w:tc>
          <w:tcPr/>
          <w:p>
            <w:pPr>
              <w:pStyle w:val="Compact"/>
              <w:jc w:val="right"/>
            </w:pPr>
            <w:r>
              <w:t xml:space="preserve">5.2</w:t>
            </w:r>
          </w:p>
        </w:tc>
        <w:tc>
          <w:tcPr/>
          <w:p>
            <w:pPr>
              <w:pStyle w:val="Compact"/>
              <w:jc w:val="left"/>
            </w:pPr>
            <w:r>
              <w:t xml:space="preserve">Walton</w:t>
            </w:r>
          </w:p>
        </w:tc>
        <w:tc>
          <w:tcPr/>
          <w:p>
            <w:pPr>
              <w:pStyle w:val="Compact"/>
              <w:jc w:val="right"/>
            </w:pPr>
            <w:r>
              <w:t xml:space="preserve">3.8</w:t>
            </w:r>
          </w:p>
        </w:tc>
        <w:tc>
          <w:tcPr/>
          <w:p>
            <w:pPr>
              <w:pStyle w:val="Compact"/>
              <w:jc w:val="left"/>
            </w:pPr>
            <w:r>
              <w:t xml:space="preserve">Wakulla</w:t>
            </w:r>
          </w:p>
        </w:tc>
        <w:tc>
          <w:tcPr/>
          <w:p>
            <w:pPr>
              <w:pStyle w:val="Compact"/>
              <w:jc w:val="right"/>
            </w:pPr>
            <w:r>
              <w:t xml:space="preserve">2.7</w:t>
            </w:r>
          </w:p>
        </w:tc>
      </w:tr>
      <w:tr>
        <w:tc>
          <w:tcPr/>
          <w:p>
            <w:pPr>
              <w:pStyle w:val="Compact"/>
              <w:jc w:val="left"/>
            </w:pPr>
            <w:r>
              <w:t xml:space="preserve">Alachua</w:t>
            </w:r>
          </w:p>
        </w:tc>
        <w:tc>
          <w:tcPr/>
          <w:p>
            <w:pPr>
              <w:pStyle w:val="Compact"/>
              <w:jc w:val="right"/>
            </w:pPr>
            <w:r>
              <w:t xml:space="preserve">4.4</w:t>
            </w:r>
          </w:p>
        </w:tc>
        <w:tc>
          <w:tcPr/>
          <w:p>
            <w:pPr>
              <w:pStyle w:val="Compact"/>
              <w:jc w:val="left"/>
            </w:pPr>
            <w:r>
              <w:t xml:space="preserve">NA</w:t>
            </w:r>
          </w:p>
        </w:tc>
        <w:tc>
          <w:tcPr/>
          <w:p>
            <w:pPr>
              <w:pStyle w:val="Compact"/>
              <w:jc w:val="right"/>
            </w:pPr>
            <w:r>
              <w:t xml:space="preserve">NA</w:t>
            </w:r>
          </w:p>
        </w:tc>
        <w:tc>
          <w:tcPr/>
          <w:p>
            <w:pPr>
              <w:pStyle w:val="Compact"/>
              <w:jc w:val="left"/>
            </w:pPr>
            <w:r>
              <w:t xml:space="preserve">Walton</w:t>
            </w:r>
          </w:p>
        </w:tc>
        <w:tc>
          <w:tcPr/>
          <w:p>
            <w:pPr>
              <w:pStyle w:val="Compact"/>
              <w:jc w:val="right"/>
            </w:pPr>
            <w:r>
              <w:t xml:space="preserve">2.7</w:t>
            </w:r>
          </w:p>
        </w:tc>
      </w:tr>
      <w:tr>
        <w:tc>
          <w:tcPr/>
          <w:p>
            <w:pPr>
              <w:pStyle w:val="Compact"/>
              <w:jc w:val="left"/>
            </w:pPr>
            <w:r>
              <w:t xml:space="preserve">St Johns</w:t>
            </w:r>
          </w:p>
        </w:tc>
        <w:tc>
          <w:tcPr/>
          <w:p>
            <w:pPr>
              <w:pStyle w:val="Compact"/>
              <w:jc w:val="right"/>
            </w:pPr>
            <w:r>
              <w:t xml:space="preserve">3.7</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Marion</w:t>
            </w:r>
          </w:p>
        </w:tc>
        <w:tc>
          <w:tcPr/>
          <w:p>
            <w:pPr>
              <w:pStyle w:val="Compact"/>
              <w:jc w:val="right"/>
            </w:pPr>
            <w:r>
              <w:t xml:space="preserve">3.3</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Pinellas</w:t>
            </w:r>
          </w:p>
        </w:tc>
        <w:tc>
          <w:tcPr/>
          <w:p>
            <w:pPr>
              <w:pStyle w:val="Compact"/>
              <w:jc w:val="right"/>
            </w:pPr>
            <w:r>
              <w:t xml:space="preserve">2.6</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bl>
    <w:p>
      <w:pPr>
        <w:pStyle w:val="BodyText"/>
      </w:pPr>
      <w:r>
        <w:rPr>
          <w:b/>
          <w:bCs/>
        </w:rPr>
        <w:t xml:space="preserve">Table 2. County origins of Florida for-hire anglers fishing the NW Panhandle region and Santa Rosa county, for 2014-2024.</w:t>
      </w:r>
      <w:r>
        <w:br/>
      </w:r>
      <w:r>
        <w:t xml:space="preserve">This table compares which counties Florida resident anglers come from when they fish the NW Panhandle region (Escambia, Santa Rosa, Okaloosa and Walton counties) or specifically Santa Rosa County.</w:t>
      </w:r>
    </w:p>
    <w:p>
      <w:pPr>
        <w:pStyle w:val="Compact"/>
        <w:numPr>
          <w:ilvl w:val="0"/>
          <w:numId w:val="1008"/>
        </w:numPr>
      </w:pPr>
      <w:r>
        <w:t xml:space="preserve">Columns 1 &amp; 2 show where Florida residents who live outside of the NW Panhandle region come from when they for-hire fish the NW Panhandle region.</w:t>
      </w:r>
    </w:p>
    <w:p>
      <w:pPr>
        <w:pStyle w:val="Compact"/>
        <w:numPr>
          <w:ilvl w:val="0"/>
          <w:numId w:val="1008"/>
        </w:numPr>
      </w:pPr>
      <w:r>
        <w:t xml:space="preserve">Columns 3 &amp; 4 show where Florida residents who live outside of Santa Rosa County come from when they for-hire fish Santa Rosa County.</w:t>
      </w:r>
    </w:p>
    <w:p>
      <w:pPr>
        <w:pStyle w:val="Compact"/>
        <w:numPr>
          <w:ilvl w:val="0"/>
          <w:numId w:val="1008"/>
        </w:numPr>
      </w:pPr>
      <w:r>
        <w:t xml:space="preserve">Columns 5 &amp; 6 show where Florida residents come from, regardless of what county they live in, when they for-hire fish Santa Rosa County.</w:t>
      </w:r>
    </w:p>
    <w:p>
      <w:pPr>
        <w:pStyle w:val="FirstParagraph"/>
      </w:pPr>
      <w:r>
        <w:t xml:space="preserve">This comparison allows understanding (</w:t>
      </w:r>
      <w:r>
        <w:rPr>
          <w:i/>
          <w:iCs/>
        </w:rPr>
        <w:t xml:space="preserve">i</w:t>
      </w:r>
      <w:r>
        <w:t xml:space="preserve">) where Florida resident for-hire anglers fishing the NW Panhandle region and Santa Rosa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Santa Rosa County, 5% of trips intercepted were made by residents, and 95%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NW Panhandle region and Santa Rosa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NW Panhandle region.</w:t>
      </w:r>
      <w:r>
        <w:br/>
      </w:r>
      <w:r>
        <w:rPr>
          <w:b/>
          <w:bCs/>
        </w:rPr>
        <w:t xml:space="preserve">Figure 1</w:t>
      </w:r>
      <w:r>
        <w:t xml:space="preserve"> </w:t>
      </w:r>
      <w:r>
        <w:t xml:space="preserve">maps trips to Santa Rosa County regardless of species targeted.</w:t>
      </w:r>
      <w:r>
        <w:br/>
      </w:r>
      <w:r>
        <w:rPr>
          <w:b/>
          <w:bCs/>
        </w:rPr>
        <w:t xml:space="preserve">Figure 2</w:t>
      </w:r>
      <w:r>
        <w:t xml:space="preserve"> </w:t>
      </w:r>
      <w:r>
        <w:t xml:space="preserve">maps trips to the NW Panhandle region when anglers targeted Red snapper.</w:t>
      </w:r>
      <w:r>
        <w:br/>
      </w:r>
      <w:r>
        <w:rPr>
          <w:b/>
          <w:bCs/>
        </w:rPr>
        <w:t xml:space="preserve">Figure 3</w:t>
      </w:r>
      <w:r>
        <w:t xml:space="preserve"> </w:t>
      </w:r>
      <w:r>
        <w:t xml:space="preserve">maps trips to the NW Panhandle region when anglers targeted Vermilion snapper.</w:t>
      </w:r>
      <w:r>
        <w:br/>
      </w:r>
      <w:r>
        <w:rPr>
          <w:b/>
          <w:bCs/>
        </w:rPr>
        <w:t xml:space="preserve">Figure 4</w:t>
      </w:r>
      <w:r>
        <w:t xml:space="preserve"> </w:t>
      </w:r>
      <w:r>
        <w:t xml:space="preserve">maps trips to the NW Panhandle region when anglers targeted Red drum.</w:t>
      </w:r>
      <w:r>
        <w:br/>
      </w:r>
      <w:r>
        <w:rPr>
          <w:b/>
          <w:bCs/>
        </w:rPr>
        <w:t xml:space="preserve">Figure 5</w:t>
      </w:r>
      <w:r>
        <w:t xml:space="preserve"> </w:t>
      </w:r>
      <w:r>
        <w:t xml:space="preserve">maps trips to the NW Panhandle region when anglers targeted Greater amberjack.</w:t>
      </w:r>
      <w:r>
        <w:br/>
      </w:r>
      <w:r>
        <w:rPr>
          <w:b/>
          <w:bCs/>
        </w:rPr>
        <w:t xml:space="preserve">Figure 6</w:t>
      </w:r>
      <w:r>
        <w:t xml:space="preserve"> </w:t>
      </w:r>
      <w:r>
        <w:t xml:space="preserve">maps trips to the NW Panhandle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Santa%20Rosa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Santa Rosa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Santa%20Rosa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NW Panhandle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Santa%20Rosa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NW Panhandle region originated in, when targeted Vermilion snapper,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Santa%20Rosa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NW Panhandle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Santa%20Rosa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NW Panhandle region originated in, when targeted Greater amberjack,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Santa%20Rosa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NW Panhandle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NW Panhandle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NW Panhandle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Santa Rosa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NW Panhandle region, regardless of origin.</w:t>
      </w:r>
    </w:p>
    <w:p>
      <w:pPr>
        <w:pStyle w:val="Compact"/>
        <w:numPr>
          <w:ilvl w:val="0"/>
          <w:numId w:val="1010"/>
        </w:numPr>
      </w:pPr>
      <w:r>
        <w:t xml:space="preserve">For-hire trips taken in Santa Rosa County, regardless of origin.</w:t>
      </w:r>
    </w:p>
    <w:p>
      <w:pPr>
        <w:pStyle w:val="Compact"/>
        <w:numPr>
          <w:ilvl w:val="0"/>
          <w:numId w:val="1010"/>
        </w:numPr>
      </w:pPr>
      <w:r>
        <w:t xml:space="preserve">For-hire trips taken in Santa Rosa County by Santa Rosa County residents.</w:t>
      </w:r>
    </w:p>
    <w:p>
      <w:pPr>
        <w:pStyle w:val="Compact"/>
        <w:numPr>
          <w:ilvl w:val="0"/>
          <w:numId w:val="1010"/>
        </w:numPr>
      </w:pPr>
      <w:r>
        <w:t xml:space="preserve">For-hire trips taken in Santa Rosa County by non-residents of Santa Rosa County.</w:t>
      </w:r>
    </w:p>
    <w:p>
      <w:pPr>
        <w:pStyle w:val="Compact"/>
        <w:numPr>
          <w:ilvl w:val="0"/>
          <w:numId w:val="1010"/>
        </w:numPr>
      </w:pPr>
      <w:r>
        <w:t xml:space="preserve">For-hire trips taken in Santa Rosa County by out-of-state anglers.</w:t>
      </w:r>
    </w:p>
    <w:p>
      <w:pPr>
        <w:pStyle w:val="FirstParagraph"/>
      </w:pPr>
      <w:r>
        <w:t xml:space="preserve">These results are summarized in two separate tables that promote comparison of Santa Rosa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Santa Rosa County, which may help inform local government interest in state and regional fisheries management issues.</w:t>
      </w:r>
    </w:p>
    <w:p>
      <w:pPr>
        <w:pStyle w:val="Compact"/>
        <w:numPr>
          <w:ilvl w:val="0"/>
          <w:numId w:val="1011"/>
        </w:numPr>
      </w:pPr>
      <w:r>
        <w:t xml:space="preserve">Understanding what species visiting (non Santa Rosa-County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02"/>
        <w:gridCol w:w="942"/>
        <w:gridCol w:w="1791"/>
        <w:gridCol w:w="942"/>
        <w:gridCol w:w="1697"/>
        <w:gridCol w:w="942"/>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NW Panhandle trips</w:t>
            </w:r>
          </w:p>
        </w:tc>
        <w:tc>
          <w:tcPr/>
          <w:p>
            <w:pPr>
              <w:pStyle w:val="Compact"/>
              <w:jc w:val="right"/>
            </w:pPr>
            <w:r>
              <w:t xml:space="preserve">Per. (%)</w:t>
            </w:r>
          </w:p>
        </w:tc>
        <w:tc>
          <w:tcPr/>
          <w:p>
            <w:pPr>
              <w:pStyle w:val="Compact"/>
              <w:jc w:val="left"/>
            </w:pPr>
            <w:r>
              <w:t xml:space="preserve">Santa Rosa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52.3</w:t>
            </w:r>
          </w:p>
        </w:tc>
        <w:tc>
          <w:tcPr/>
          <w:p>
            <w:pPr>
              <w:pStyle w:val="Compact"/>
              <w:jc w:val="left"/>
            </w:pPr>
            <w:r>
              <w:t xml:space="preserve">No Target</w:t>
            </w:r>
          </w:p>
        </w:tc>
        <w:tc>
          <w:tcPr/>
          <w:p>
            <w:pPr>
              <w:pStyle w:val="Compact"/>
              <w:jc w:val="right"/>
            </w:pPr>
            <w:r>
              <w:t xml:space="preserve">42.9</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snapper</w:t>
            </w:r>
          </w:p>
        </w:tc>
        <w:tc>
          <w:tcPr/>
          <w:p>
            <w:pPr>
              <w:pStyle w:val="Compact"/>
              <w:jc w:val="right"/>
            </w:pPr>
            <w:r>
              <w:t xml:space="preserve">22.3</w:t>
            </w:r>
          </w:p>
        </w:tc>
        <w:tc>
          <w:tcPr/>
          <w:p>
            <w:pPr>
              <w:pStyle w:val="Compact"/>
              <w:jc w:val="left"/>
            </w:pPr>
            <w:r>
              <w:t xml:space="preserve">Red drum</w:t>
            </w:r>
          </w:p>
        </w:tc>
        <w:tc>
          <w:tcPr/>
          <w:p>
            <w:pPr>
              <w:pStyle w:val="Compact"/>
              <w:jc w:val="right"/>
            </w:pPr>
            <w:r>
              <w:t xml:space="preserve">21.0</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Vermilion snapper</w:t>
            </w:r>
          </w:p>
        </w:tc>
        <w:tc>
          <w:tcPr/>
          <w:p>
            <w:pPr>
              <w:pStyle w:val="Compact"/>
              <w:jc w:val="right"/>
            </w:pPr>
            <w:r>
              <w:t xml:space="preserve">7.0</w:t>
            </w:r>
          </w:p>
        </w:tc>
        <w:tc>
          <w:tcPr/>
          <w:p>
            <w:pPr>
              <w:pStyle w:val="Compact"/>
              <w:jc w:val="left"/>
            </w:pPr>
            <w:r>
              <w:t xml:space="preserve">Red snapper</w:t>
            </w:r>
          </w:p>
        </w:tc>
        <w:tc>
          <w:tcPr/>
          <w:p>
            <w:pPr>
              <w:pStyle w:val="Compact"/>
              <w:jc w:val="right"/>
            </w:pPr>
            <w:r>
              <w:t xml:space="preserve">19.5</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Red drum</w:t>
            </w:r>
          </w:p>
        </w:tc>
        <w:tc>
          <w:tcPr/>
          <w:p>
            <w:pPr>
              <w:pStyle w:val="Compact"/>
              <w:jc w:val="right"/>
            </w:pPr>
            <w:r>
              <w:t xml:space="preserve">4.1</w:t>
            </w:r>
          </w:p>
        </w:tc>
        <w:tc>
          <w:tcPr/>
          <w:p>
            <w:pPr>
              <w:pStyle w:val="Compact"/>
              <w:jc w:val="left"/>
            </w:pPr>
            <w:r>
              <w:t xml:space="preserve">Vermilion snapper</w:t>
            </w:r>
          </w:p>
        </w:tc>
        <w:tc>
          <w:tcPr/>
          <w:p>
            <w:pPr>
              <w:pStyle w:val="Compact"/>
              <w:jc w:val="right"/>
            </w:pPr>
            <w:r>
              <w:t xml:space="preserve">5.2</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Greater amberjack</w:t>
            </w:r>
          </w:p>
        </w:tc>
        <w:tc>
          <w:tcPr/>
          <w:p>
            <w:pPr>
              <w:pStyle w:val="Compact"/>
              <w:jc w:val="right"/>
            </w:pPr>
            <w:r>
              <w:t xml:space="preserve">2.9</w:t>
            </w:r>
          </w:p>
        </w:tc>
        <w:tc>
          <w:tcPr/>
          <w:p>
            <w:pPr>
              <w:pStyle w:val="Compact"/>
              <w:jc w:val="left"/>
            </w:pPr>
            <w:r>
              <w:t xml:space="preserve">Spanish mackerel</w:t>
            </w:r>
          </w:p>
        </w:tc>
        <w:tc>
          <w:tcPr/>
          <w:p>
            <w:pPr>
              <w:pStyle w:val="Compact"/>
              <w:jc w:val="right"/>
            </w:pPr>
            <w:r>
              <w:t xml:space="preserve">4.3</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King mackerel</w:t>
            </w:r>
          </w:p>
        </w:tc>
        <w:tc>
          <w:tcPr/>
          <w:p>
            <w:pPr>
              <w:pStyle w:val="Compact"/>
              <w:jc w:val="right"/>
            </w:pPr>
            <w:r>
              <w:t xml:space="preserve">2.8</w:t>
            </w:r>
          </w:p>
        </w:tc>
        <w:tc>
          <w:tcPr/>
          <w:p>
            <w:pPr>
              <w:pStyle w:val="Compact"/>
              <w:jc w:val="left"/>
            </w:pPr>
            <w:r>
              <w:t xml:space="preserve">King mackerel</w:t>
            </w:r>
          </w:p>
        </w:tc>
        <w:tc>
          <w:tcPr/>
          <w:p>
            <w:pPr>
              <w:pStyle w:val="Compact"/>
              <w:jc w:val="right"/>
            </w:pPr>
            <w:r>
              <w:t xml:space="preserve">2.4</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Spotted seatrout</w:t>
            </w:r>
          </w:p>
        </w:tc>
        <w:tc>
          <w:tcPr/>
          <w:p>
            <w:pPr>
              <w:pStyle w:val="Compact"/>
              <w:jc w:val="right"/>
            </w:pPr>
            <w:r>
              <w:t xml:space="preserve">1.5</w:t>
            </w:r>
          </w:p>
        </w:tc>
        <w:tc>
          <w:tcPr/>
          <w:p>
            <w:pPr>
              <w:pStyle w:val="Compact"/>
              <w:jc w:val="left"/>
            </w:pPr>
            <w:r>
              <w:t xml:space="preserve">Little tunny</w:t>
            </w:r>
          </w:p>
        </w:tc>
        <w:tc>
          <w:tcPr/>
          <w:p>
            <w:pPr>
              <w:pStyle w:val="Compact"/>
              <w:jc w:val="right"/>
            </w:pPr>
            <w:r>
              <w:t xml:space="preserve">1.4</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Gray triggerfish</w:t>
            </w:r>
          </w:p>
        </w:tc>
        <w:tc>
          <w:tcPr/>
          <w:p>
            <w:pPr>
              <w:pStyle w:val="Compact"/>
              <w:jc w:val="right"/>
            </w:pPr>
            <w:r>
              <w:t xml:space="preserve">1.4</w:t>
            </w:r>
          </w:p>
        </w:tc>
        <w:tc>
          <w:tcPr/>
          <w:p>
            <w:pPr>
              <w:pStyle w:val="Compact"/>
              <w:jc w:val="left"/>
            </w:pPr>
            <w:r>
              <w:t xml:space="preserve">Sand seatrout</w:t>
            </w:r>
          </w:p>
        </w:tc>
        <w:tc>
          <w:tcPr/>
          <w:p>
            <w:pPr>
              <w:pStyle w:val="Compact"/>
              <w:jc w:val="right"/>
            </w:pPr>
            <w:r>
              <w:t xml:space="preserve">1.4</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Spanish mackerel</w:t>
            </w:r>
          </w:p>
        </w:tc>
        <w:tc>
          <w:tcPr/>
          <w:p>
            <w:pPr>
              <w:pStyle w:val="Compact"/>
              <w:jc w:val="right"/>
            </w:pPr>
            <w:r>
              <w:t xml:space="preserve">1.2</w:t>
            </w:r>
          </w:p>
        </w:tc>
        <w:tc>
          <w:tcPr/>
          <w:p>
            <w:pPr>
              <w:pStyle w:val="Compact"/>
              <w:jc w:val="left"/>
            </w:pPr>
            <w:r>
              <w:t xml:space="preserve">Snapper family</w:t>
            </w:r>
          </w:p>
        </w:tc>
        <w:tc>
          <w:tcPr/>
          <w:p>
            <w:pPr>
              <w:pStyle w:val="Compact"/>
              <w:jc w:val="right"/>
            </w:pPr>
            <w:r>
              <w:t xml:space="preserve">1.4</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Sea bass family</w:t>
            </w:r>
          </w:p>
        </w:tc>
        <w:tc>
          <w:tcPr/>
          <w:p>
            <w:pPr>
              <w:pStyle w:val="Compact"/>
              <w:jc w:val="right"/>
            </w:pPr>
            <w:r>
              <w:t xml:space="preserve">0.5</w:t>
            </w:r>
          </w:p>
        </w:tc>
        <w:tc>
          <w:tcPr/>
          <w:p>
            <w:pPr>
              <w:pStyle w:val="Compact"/>
              <w:jc w:val="left"/>
            </w:pPr>
            <w:r>
              <w:t xml:space="preserve">Spotted seatrout</w:t>
            </w:r>
          </w:p>
        </w:tc>
        <w:tc>
          <w:tcPr/>
          <w:p>
            <w:pPr>
              <w:pStyle w:val="Compact"/>
              <w:jc w:val="right"/>
            </w:pPr>
            <w:r>
              <w:t xml:space="preserve">0.5</w:t>
            </w:r>
          </w:p>
        </w:tc>
      </w:tr>
    </w:tbl>
    <w:p>
      <w:pPr>
        <w:pStyle w:val="BodyText"/>
      </w:pPr>
      <w:r>
        <w:rPr>
          <w:b/>
          <w:bCs/>
        </w:rPr>
        <w:t xml:space="preserve">Table 3. Comparison of species targeted by for-hire anglers in Santa Rosa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NW Panhandle region.</w:t>
      </w:r>
    </w:p>
    <w:p>
      <w:pPr>
        <w:pStyle w:val="Compact"/>
        <w:numPr>
          <w:ilvl w:val="0"/>
          <w:numId w:val="1012"/>
        </w:numPr>
      </w:pPr>
      <w:r>
        <w:t xml:space="preserve">Columns 5 &amp; 6 show species targeted by for-hire trips made in Santa Rosa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38"/>
        <w:gridCol w:w="910"/>
        <w:gridCol w:w="1820"/>
        <w:gridCol w:w="910"/>
        <w:gridCol w:w="1729"/>
        <w:gridCol w:w="91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Red snapper</w:t>
            </w:r>
          </w:p>
        </w:tc>
        <w:tc>
          <w:tcPr/>
          <w:p>
            <w:pPr>
              <w:pStyle w:val="Compact"/>
              <w:jc w:val="right"/>
            </w:pPr>
            <w:r>
              <w:t xml:space="preserve">36.4</w:t>
            </w:r>
          </w:p>
        </w:tc>
        <w:tc>
          <w:tcPr/>
          <w:p>
            <w:pPr>
              <w:pStyle w:val="Compact"/>
              <w:jc w:val="left"/>
            </w:pPr>
            <w:r>
              <w:t xml:space="preserve">No Target</w:t>
            </w:r>
          </w:p>
        </w:tc>
        <w:tc>
          <w:tcPr/>
          <w:p>
            <w:pPr>
              <w:pStyle w:val="Compact"/>
              <w:jc w:val="right"/>
            </w:pPr>
            <w:r>
              <w:t xml:space="preserve">44.7</w:t>
            </w:r>
          </w:p>
        </w:tc>
        <w:tc>
          <w:tcPr/>
          <w:p>
            <w:pPr>
              <w:pStyle w:val="Compact"/>
              <w:jc w:val="left"/>
            </w:pPr>
            <w:r>
              <w:t xml:space="preserve">No Target</w:t>
            </w:r>
          </w:p>
        </w:tc>
        <w:tc>
          <w:tcPr/>
          <w:p>
            <w:pPr>
              <w:pStyle w:val="Compact"/>
              <w:jc w:val="right"/>
            </w:pPr>
            <w:r>
              <w:t xml:space="preserve">45.1</w:t>
            </w:r>
          </w:p>
        </w:tc>
      </w:tr>
      <w:tr>
        <w:tc>
          <w:tcPr/>
          <w:p>
            <w:pPr>
              <w:pStyle w:val="Compact"/>
              <w:jc w:val="left"/>
            </w:pPr>
            <w:r>
              <w:t xml:space="preserve">Vermilion snapper</w:t>
            </w:r>
          </w:p>
        </w:tc>
        <w:tc>
          <w:tcPr/>
          <w:p>
            <w:pPr>
              <w:pStyle w:val="Compact"/>
              <w:jc w:val="right"/>
            </w:pPr>
            <w:r>
              <w:t xml:space="preserve">36.4</w:t>
            </w:r>
          </w:p>
        </w:tc>
        <w:tc>
          <w:tcPr/>
          <w:p>
            <w:pPr>
              <w:pStyle w:val="Compact"/>
              <w:jc w:val="left"/>
            </w:pPr>
            <w:r>
              <w:t xml:space="preserve">Red drum</w:t>
            </w:r>
          </w:p>
        </w:tc>
        <w:tc>
          <w:tcPr/>
          <w:p>
            <w:pPr>
              <w:pStyle w:val="Compact"/>
              <w:jc w:val="right"/>
            </w:pPr>
            <w:r>
              <w:t xml:space="preserve">21.1</w:t>
            </w:r>
          </w:p>
        </w:tc>
        <w:tc>
          <w:tcPr/>
          <w:p>
            <w:pPr>
              <w:pStyle w:val="Compact"/>
              <w:jc w:val="left"/>
            </w:pPr>
            <w:r>
              <w:t xml:space="preserve">Red snapper</w:t>
            </w:r>
          </w:p>
        </w:tc>
        <w:tc>
          <w:tcPr/>
          <w:p>
            <w:pPr>
              <w:pStyle w:val="Compact"/>
              <w:jc w:val="right"/>
            </w:pPr>
            <w:r>
              <w:t xml:space="preserve">20.2</w:t>
            </w:r>
          </w:p>
        </w:tc>
      </w:tr>
      <w:tr>
        <w:tc>
          <w:tcPr/>
          <w:p>
            <w:pPr>
              <w:pStyle w:val="Compact"/>
              <w:jc w:val="left"/>
            </w:pPr>
            <w:r>
              <w:t xml:space="preserve">Red drum</w:t>
            </w:r>
          </w:p>
        </w:tc>
        <w:tc>
          <w:tcPr/>
          <w:p>
            <w:pPr>
              <w:pStyle w:val="Compact"/>
              <w:jc w:val="right"/>
            </w:pPr>
            <w:r>
              <w:t xml:space="preserve">18.2</w:t>
            </w:r>
          </w:p>
        </w:tc>
        <w:tc>
          <w:tcPr/>
          <w:p>
            <w:pPr>
              <w:pStyle w:val="Compact"/>
              <w:jc w:val="left"/>
            </w:pPr>
            <w:r>
              <w:t xml:space="preserve">Red snapper</w:t>
            </w:r>
          </w:p>
        </w:tc>
        <w:tc>
          <w:tcPr/>
          <w:p>
            <w:pPr>
              <w:pStyle w:val="Compact"/>
              <w:jc w:val="right"/>
            </w:pPr>
            <w:r>
              <w:t xml:space="preserve">18.6</w:t>
            </w:r>
          </w:p>
        </w:tc>
        <w:tc>
          <w:tcPr/>
          <w:p>
            <w:pPr>
              <w:pStyle w:val="Compact"/>
              <w:jc w:val="left"/>
            </w:pPr>
            <w:r>
              <w:t xml:space="preserve">Red drum</w:t>
            </w:r>
          </w:p>
        </w:tc>
        <w:tc>
          <w:tcPr/>
          <w:p>
            <w:pPr>
              <w:pStyle w:val="Compact"/>
              <w:jc w:val="right"/>
            </w:pPr>
            <w:r>
              <w:t xml:space="preserve">17.3</w:t>
            </w:r>
          </w:p>
        </w:tc>
      </w:tr>
      <w:tr>
        <w:tc>
          <w:tcPr/>
          <w:p>
            <w:pPr>
              <w:pStyle w:val="Compact"/>
              <w:jc w:val="left"/>
            </w:pPr>
            <w:r>
              <w:t xml:space="preserve">No Target</w:t>
            </w:r>
          </w:p>
        </w:tc>
        <w:tc>
          <w:tcPr/>
          <w:p>
            <w:pPr>
              <w:pStyle w:val="Compact"/>
              <w:jc w:val="right"/>
            </w:pPr>
            <w:r>
              <w:t xml:space="preserve">9.1</w:t>
            </w:r>
          </w:p>
        </w:tc>
        <w:tc>
          <w:tcPr/>
          <w:p>
            <w:pPr>
              <w:pStyle w:val="Compact"/>
              <w:jc w:val="left"/>
            </w:pPr>
            <w:r>
              <w:t xml:space="preserve">Spanish mackerel</w:t>
            </w:r>
          </w:p>
        </w:tc>
        <w:tc>
          <w:tcPr/>
          <w:p>
            <w:pPr>
              <w:pStyle w:val="Compact"/>
              <w:jc w:val="right"/>
            </w:pPr>
            <w:r>
              <w:t xml:space="preserve">4.5</w:t>
            </w:r>
          </w:p>
        </w:tc>
        <w:tc>
          <w:tcPr/>
          <w:p>
            <w:pPr>
              <w:pStyle w:val="Compact"/>
              <w:jc w:val="left"/>
            </w:pPr>
            <w:r>
              <w:t xml:space="preserve">Spanish mackerel</w:t>
            </w:r>
          </w:p>
        </w:tc>
        <w:tc>
          <w:tcPr/>
          <w:p>
            <w:pPr>
              <w:pStyle w:val="Compact"/>
              <w:jc w:val="right"/>
            </w:pPr>
            <w:r>
              <w:t xml:space="preserve">5.2</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Vermilion snapper</w:t>
            </w:r>
          </w:p>
        </w:tc>
        <w:tc>
          <w:tcPr/>
          <w:p>
            <w:pPr>
              <w:pStyle w:val="Compact"/>
              <w:jc w:val="right"/>
            </w:pPr>
            <w:r>
              <w:t xml:space="preserve">3.5</w:t>
            </w:r>
          </w:p>
        </w:tc>
        <w:tc>
          <w:tcPr/>
          <w:p>
            <w:pPr>
              <w:pStyle w:val="Compact"/>
              <w:jc w:val="left"/>
            </w:pPr>
            <w:r>
              <w:t xml:space="preserve">Vermilion snapper</w:t>
            </w:r>
          </w:p>
        </w:tc>
        <w:tc>
          <w:tcPr/>
          <w:p>
            <w:pPr>
              <w:pStyle w:val="Compact"/>
              <w:jc w:val="right"/>
            </w:pPr>
            <w:r>
              <w:t xml:space="preserve">4.0</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King mackerel</w:t>
            </w:r>
          </w:p>
        </w:tc>
        <w:tc>
          <w:tcPr/>
          <w:p>
            <w:pPr>
              <w:pStyle w:val="Compact"/>
              <w:jc w:val="right"/>
            </w:pPr>
            <w:r>
              <w:t xml:space="preserve">2.5</w:t>
            </w:r>
          </w:p>
        </w:tc>
        <w:tc>
          <w:tcPr/>
          <w:p>
            <w:pPr>
              <w:pStyle w:val="Compact"/>
              <w:jc w:val="left"/>
            </w:pPr>
            <w:r>
              <w:t xml:space="preserve">King mackerel</w:t>
            </w:r>
          </w:p>
        </w:tc>
        <w:tc>
          <w:tcPr/>
          <w:p>
            <w:pPr>
              <w:pStyle w:val="Compact"/>
              <w:jc w:val="right"/>
            </w:pPr>
            <w:r>
              <w:t xml:space="preserve">2.9</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Little tunny</w:t>
            </w:r>
          </w:p>
        </w:tc>
        <w:tc>
          <w:tcPr/>
          <w:p>
            <w:pPr>
              <w:pStyle w:val="Compact"/>
              <w:jc w:val="right"/>
            </w:pPr>
            <w:r>
              <w:t xml:space="preserve">1.5</w:t>
            </w:r>
          </w:p>
        </w:tc>
        <w:tc>
          <w:tcPr/>
          <w:p>
            <w:pPr>
              <w:pStyle w:val="Compact"/>
              <w:jc w:val="left"/>
            </w:pPr>
            <w:r>
              <w:t xml:space="preserve">Little tunny</w:t>
            </w:r>
          </w:p>
        </w:tc>
        <w:tc>
          <w:tcPr/>
          <w:p>
            <w:pPr>
              <w:pStyle w:val="Compact"/>
              <w:jc w:val="right"/>
            </w:pPr>
            <w:r>
              <w:t xml:space="preserve">1.7</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Sand seatrout</w:t>
            </w:r>
          </w:p>
        </w:tc>
        <w:tc>
          <w:tcPr/>
          <w:p>
            <w:pPr>
              <w:pStyle w:val="Compact"/>
              <w:jc w:val="right"/>
            </w:pPr>
            <w:r>
              <w:t xml:space="preserve">1.5</w:t>
            </w:r>
          </w:p>
        </w:tc>
        <w:tc>
          <w:tcPr/>
          <w:p>
            <w:pPr>
              <w:pStyle w:val="Compact"/>
              <w:jc w:val="left"/>
            </w:pPr>
            <w:r>
              <w:t xml:space="preserve">Sand seatrout</w:t>
            </w:r>
          </w:p>
        </w:tc>
        <w:tc>
          <w:tcPr/>
          <w:p>
            <w:pPr>
              <w:pStyle w:val="Compact"/>
              <w:jc w:val="right"/>
            </w:pPr>
            <w:r>
              <w:t xml:space="preserve">1.7</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Snapper family</w:t>
            </w:r>
          </w:p>
        </w:tc>
        <w:tc>
          <w:tcPr/>
          <w:p>
            <w:pPr>
              <w:pStyle w:val="Compact"/>
              <w:jc w:val="right"/>
            </w:pPr>
            <w:r>
              <w:t xml:space="preserve">1.5</w:t>
            </w:r>
          </w:p>
        </w:tc>
        <w:tc>
          <w:tcPr/>
          <w:p>
            <w:pPr>
              <w:pStyle w:val="Compact"/>
              <w:jc w:val="left"/>
            </w:pPr>
            <w:r>
              <w:t xml:space="preserve">Snapper family</w:t>
            </w:r>
          </w:p>
        </w:tc>
        <w:tc>
          <w:tcPr/>
          <w:p>
            <w:pPr>
              <w:pStyle w:val="Compact"/>
              <w:jc w:val="right"/>
            </w:pPr>
            <w:r>
              <w:t xml:space="preserve">1.2</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Spotted seatrout</w:t>
            </w:r>
          </w:p>
        </w:tc>
        <w:tc>
          <w:tcPr/>
          <w:p>
            <w:pPr>
              <w:pStyle w:val="Compact"/>
              <w:jc w:val="right"/>
            </w:pPr>
            <w:r>
              <w:t xml:space="preserve">0.5</w:t>
            </w:r>
          </w:p>
        </w:tc>
        <w:tc>
          <w:tcPr/>
          <w:p>
            <w:pPr>
              <w:pStyle w:val="Compact"/>
              <w:jc w:val="left"/>
            </w:pPr>
            <w:r>
              <w:t xml:space="preserve">Spotted seatrout</w:t>
            </w:r>
          </w:p>
        </w:tc>
        <w:tc>
          <w:tcPr/>
          <w:p>
            <w:pPr>
              <w:pStyle w:val="Compact"/>
              <w:jc w:val="right"/>
            </w:pPr>
            <w:r>
              <w:t xml:space="preserve">0.6</w:t>
            </w:r>
          </w:p>
        </w:tc>
      </w:tr>
    </w:tbl>
    <w:p>
      <w:pPr>
        <w:pStyle w:val="BodyText"/>
      </w:pPr>
      <w:r>
        <w:rPr>
          <w:b/>
          <w:bCs/>
        </w:rPr>
        <w:t xml:space="preserve">Table 4. Proportions of species targeted by fishing trips made in Santa Rosa county by anglers from various origins, for 2014-2024.</w:t>
      </w:r>
    </w:p>
    <w:p>
      <w:pPr>
        <w:pStyle w:val="Compact"/>
        <w:numPr>
          <w:ilvl w:val="0"/>
          <w:numId w:val="1013"/>
        </w:numPr>
      </w:pPr>
      <w:r>
        <w:t xml:space="preserve">Columns 1 &amp; 2 show the species targeted in Santa Rosa County by Santa Rosa County residents.</w:t>
      </w:r>
    </w:p>
    <w:p>
      <w:pPr>
        <w:pStyle w:val="Compact"/>
        <w:numPr>
          <w:ilvl w:val="0"/>
          <w:numId w:val="1013"/>
        </w:numPr>
      </w:pPr>
      <w:r>
        <w:t xml:space="preserve">Columns 3 &amp; 4 show the species targeted in Santa Rosa County by Florida residents not living in Santa Rosa County.</w:t>
      </w:r>
    </w:p>
    <w:p>
      <w:pPr>
        <w:pStyle w:val="Compact"/>
        <w:numPr>
          <w:ilvl w:val="0"/>
          <w:numId w:val="1013"/>
        </w:numPr>
      </w:pPr>
      <w:r>
        <w:t xml:space="preserve">Columns 5 &amp; 6 shows the species targeted in Santa Rosa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NW Panhandle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Santa%20Rosa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NW Panhandle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lgtiu@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9997C8-8489-40ED-93BB-433D1994649E}"/>
</file>

<file path=customXml/itemProps2.xml><?xml version="1.0" encoding="utf-8"?>
<ds:datastoreItem xmlns:ds="http://schemas.openxmlformats.org/officeDocument/2006/customXml" ds:itemID="{26B84031-D92E-4AE0-BF8D-6C4117CE10FA}"/>
</file>

<file path=customXml/itemProps3.xml><?xml version="1.0" encoding="utf-8"?>
<ds:datastoreItem xmlns:ds="http://schemas.openxmlformats.org/officeDocument/2006/customXml" ds:itemID="{55566B4B-9BD4-4AAA-A167-96FB2AF9D70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Santa Rosa County</dc:title>
  <dc:creator>A data report for the Santa Rosa County Government and Tourist Development Council prepared by:; Edward Camp, Associate Professor of Fisheries and Aquaculture Governance, University of Florida, edvcamp@ufl.edu; Laura Tiu, Florida Sea Grant Extension Agent Santa Rosa County, lgtiu@ufl.edu</dc:creator>
  <cp:keywords/>
  <dcterms:created xsi:type="dcterms:W3CDTF">2025-03-14T19:53:13Z</dcterms:created>
  <dcterms:modified xsi:type="dcterms:W3CDTF">2025-03-14T19:53:13Z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