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Broward</w:t>
      </w:r>
      <w:r>
        <w:t xml:space="preserve"> </w:t>
      </w:r>
      <w:r>
        <w:t xml:space="preserve">County</w:t>
      </w:r>
    </w:p>
    <w:p>
      <w:pPr>
        <w:pStyle w:val="Author"/>
      </w:pPr>
      <w:r>
        <w:t xml:space="preserve">Prepared</w:t>
      </w:r>
      <w:r>
        <w:t xml:space="preserve"> </w:t>
      </w:r>
      <w:r>
        <w:t xml:space="preserve">for</w:t>
      </w:r>
      <w:r>
        <w:t xml:space="preserve"> </w:t>
      </w:r>
      <w:r>
        <w:t xml:space="preserve">Broward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Broward County</w:t>
      </w:r>
      <w:r>
        <w:t xml:space="preserve">. The report describes information about where people come from when they fish Broward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Broward County</w:t>
      </w:r>
      <w:r>
        <w:t xml:space="preserve">, which can provide you.</w:t>
      </w:r>
    </w:p>
    <w:p>
      <w:pPr>
        <w:pStyle w:val="BodyText"/>
      </w:pPr>
    </w:p>
    <w:bookmarkEnd w:id="21"/>
    <w:bookmarkStart w:id="24" w:name="Xe13ac533e4e735e788dabad969a1a7207ddd2b9"/>
    <w:p>
      <w:pPr>
        <w:pStyle w:val="Heading3"/>
      </w:pPr>
      <w:r>
        <w:t xml:space="preserve">Where people come from to fish Broward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Southeast</w:t>
            </w:r>
          </w:p>
        </w:tc>
        <w:tc>
          <w:tcPr/>
          <w:p>
            <w:pPr>
              <w:pStyle w:val="Compact"/>
              <w:jc w:val="right"/>
            </w:pPr>
            <w:r>
              <w:t xml:space="preserve">Prop.</w:t>
            </w:r>
          </w:p>
        </w:tc>
        <w:tc>
          <w:tcPr/>
          <w:p>
            <w:pPr>
              <w:pStyle w:val="Compact"/>
              <w:jc w:val="left"/>
            </w:pPr>
            <w:r>
              <w:t xml:space="preserve">Trips to Broward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0.210</w:t>
            </w:r>
          </w:p>
        </w:tc>
        <w:tc>
          <w:tcPr/>
          <w:p>
            <w:pPr>
              <w:pStyle w:val="Compact"/>
              <w:jc w:val="left"/>
            </w:pPr>
            <w:r>
              <w:t xml:space="preserve">Not Available</w:t>
            </w:r>
          </w:p>
        </w:tc>
        <w:tc>
          <w:tcPr/>
          <w:p>
            <w:pPr>
              <w:pStyle w:val="Compact"/>
              <w:jc w:val="right"/>
            </w:pPr>
            <w:r>
              <w:t xml:space="preserve">0.155</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Texas</w:t>
            </w:r>
          </w:p>
        </w:tc>
        <w:tc>
          <w:tcPr/>
          <w:p>
            <w:pPr>
              <w:pStyle w:val="Compact"/>
              <w:jc w:val="right"/>
            </w:pPr>
            <w:r>
              <w:t xml:space="preserve">0.081</w:t>
            </w:r>
          </w:p>
        </w:tc>
        <w:tc>
          <w:tcPr/>
          <w:p>
            <w:pPr>
              <w:pStyle w:val="Compact"/>
              <w:jc w:val="left"/>
            </w:pPr>
            <w:r>
              <w:t xml:space="preserve">New York</w:t>
            </w:r>
          </w:p>
        </w:tc>
        <w:tc>
          <w:tcPr/>
          <w:p>
            <w:pPr>
              <w:pStyle w:val="Compact"/>
              <w:jc w:val="right"/>
            </w:pPr>
            <w:r>
              <w:t xml:space="preserve">0.091</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0.080</w:t>
            </w:r>
          </w:p>
        </w:tc>
        <w:tc>
          <w:tcPr/>
          <w:p>
            <w:pPr>
              <w:pStyle w:val="Compact"/>
              <w:jc w:val="left"/>
            </w:pPr>
            <w:r>
              <w:t xml:space="preserve">Pennsylvania</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Pennsylvania</w:t>
            </w:r>
          </w:p>
        </w:tc>
        <w:tc>
          <w:tcPr/>
          <w:p>
            <w:pPr>
              <w:pStyle w:val="Compact"/>
              <w:jc w:val="right"/>
            </w:pPr>
            <w:r>
              <w:t xml:space="preserve">0.047</w:t>
            </w:r>
          </w:p>
        </w:tc>
        <w:tc>
          <w:tcPr/>
          <w:p>
            <w:pPr>
              <w:pStyle w:val="Compact"/>
              <w:jc w:val="left"/>
            </w:pPr>
            <w:r>
              <w:t xml:space="preserve">Texas</w:t>
            </w:r>
          </w:p>
        </w:tc>
        <w:tc>
          <w:tcPr/>
          <w:p>
            <w:pPr>
              <w:pStyle w:val="Compact"/>
              <w:jc w:val="right"/>
            </w:pPr>
            <w:r>
              <w:t xml:space="preserve">0.066</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Illinois</w:t>
            </w:r>
          </w:p>
        </w:tc>
        <w:tc>
          <w:tcPr/>
          <w:p>
            <w:pPr>
              <w:pStyle w:val="Compact"/>
              <w:jc w:val="right"/>
            </w:pPr>
            <w:r>
              <w:t xml:space="preserve">0.046</w:t>
            </w:r>
          </w:p>
        </w:tc>
        <w:tc>
          <w:tcPr/>
          <w:p>
            <w:pPr>
              <w:pStyle w:val="Compact"/>
              <w:jc w:val="left"/>
            </w:pPr>
            <w:r>
              <w:t xml:space="preserve">Ohio</w:t>
            </w:r>
          </w:p>
        </w:tc>
        <w:tc>
          <w:tcPr/>
          <w:p>
            <w:pPr>
              <w:pStyle w:val="Compact"/>
              <w:jc w:val="right"/>
            </w:pPr>
            <w:r>
              <w:t xml:space="preserve">0.054</w:t>
            </w:r>
          </w:p>
        </w:tc>
      </w:tr>
    </w:tbl>
    <w:p>
      <w:pPr>
        <w:pStyle w:val="BodyText"/>
      </w:pPr>
      <w:r>
        <w:rPr>
          <w:bCs/>
          <w:b/>
        </w:rPr>
        <w:t xml:space="preserve">Table 1. The origins of out-of-state angler trips for Florida, the region, and specifically Broward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Broward County. Comparing the columns shows how Broward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Palm Beach</w:t>
            </w:r>
          </w:p>
        </w:tc>
        <w:tc>
          <w:tcPr/>
          <w:p>
            <w:pPr>
              <w:pStyle w:val="Compact"/>
              <w:jc w:val="right"/>
            </w:pPr>
            <w:r>
              <w:t xml:space="preserve">0.409</w:t>
            </w:r>
          </w:p>
        </w:tc>
        <w:tc>
          <w:tcPr/>
          <w:p>
            <w:pPr>
              <w:pStyle w:val="Compact"/>
              <w:jc w:val="left"/>
            </w:pPr>
            <w:r>
              <w:t xml:space="preserve">Broward</w:t>
            </w:r>
          </w:p>
        </w:tc>
        <w:tc>
          <w:tcPr/>
          <w:p>
            <w:pPr>
              <w:pStyle w:val="Compact"/>
              <w:jc w:val="right"/>
            </w:pPr>
            <w:r>
              <w:t xml:space="preserve">0.787</w:t>
            </w:r>
          </w:p>
        </w:tc>
      </w:tr>
      <w:tr>
        <w:tc>
          <w:tcPr/>
          <w:p>
            <w:pPr>
              <w:pStyle w:val="Compact"/>
              <w:jc w:val="left"/>
            </w:pPr>
            <w:r>
              <w:t xml:space="preserve">Miami-Dade</w:t>
            </w:r>
          </w:p>
        </w:tc>
        <w:tc>
          <w:tcPr/>
          <w:p>
            <w:pPr>
              <w:pStyle w:val="Compact"/>
              <w:jc w:val="right"/>
            </w:pPr>
            <w:r>
              <w:t xml:space="preserve">0.316</w:t>
            </w:r>
          </w:p>
        </w:tc>
        <w:tc>
          <w:tcPr/>
          <w:p>
            <w:pPr>
              <w:pStyle w:val="Compact"/>
              <w:jc w:val="left"/>
            </w:pPr>
            <w:r>
              <w:t xml:space="preserve">Palm Beach</w:t>
            </w:r>
          </w:p>
        </w:tc>
        <w:tc>
          <w:tcPr/>
          <w:p>
            <w:pPr>
              <w:pStyle w:val="Compact"/>
              <w:jc w:val="right"/>
            </w:pPr>
            <w:r>
              <w:t xml:space="preserve">0.087</w:t>
            </w:r>
          </w:p>
        </w:tc>
      </w:tr>
      <w:tr>
        <w:tc>
          <w:tcPr/>
          <w:p>
            <w:pPr>
              <w:pStyle w:val="Compact"/>
              <w:jc w:val="left"/>
            </w:pPr>
            <w:r>
              <w:t xml:space="preserve">Lee</w:t>
            </w:r>
          </w:p>
        </w:tc>
        <w:tc>
          <w:tcPr/>
          <w:p>
            <w:pPr>
              <w:pStyle w:val="Compact"/>
              <w:jc w:val="right"/>
            </w:pPr>
            <w:r>
              <w:t xml:space="preserve">0.033</w:t>
            </w:r>
          </w:p>
        </w:tc>
        <w:tc>
          <w:tcPr/>
          <w:p>
            <w:pPr>
              <w:pStyle w:val="Compact"/>
              <w:jc w:val="left"/>
            </w:pPr>
            <w:r>
              <w:t xml:space="preserve">Miami-Dade</w:t>
            </w:r>
          </w:p>
        </w:tc>
        <w:tc>
          <w:tcPr/>
          <w:p>
            <w:pPr>
              <w:pStyle w:val="Compact"/>
              <w:jc w:val="right"/>
            </w:pPr>
            <w:r>
              <w:t xml:space="preserve">0.067</w:t>
            </w:r>
          </w:p>
        </w:tc>
      </w:tr>
      <w:tr>
        <w:tc>
          <w:tcPr/>
          <w:p>
            <w:pPr>
              <w:pStyle w:val="Compact"/>
              <w:jc w:val="left"/>
            </w:pPr>
            <w:r>
              <w:t xml:space="preserve">Orange</w:t>
            </w:r>
          </w:p>
        </w:tc>
        <w:tc>
          <w:tcPr/>
          <w:p>
            <w:pPr>
              <w:pStyle w:val="Compact"/>
              <w:jc w:val="right"/>
            </w:pPr>
            <w:r>
              <w:t xml:space="preserve">0.026</w:t>
            </w:r>
          </w:p>
        </w:tc>
        <w:tc>
          <w:tcPr/>
          <w:p>
            <w:pPr>
              <w:pStyle w:val="Compact"/>
              <w:jc w:val="left"/>
            </w:pPr>
            <w:r>
              <w:t xml:space="preserve">Lee</w:t>
            </w:r>
          </w:p>
        </w:tc>
        <w:tc>
          <w:tcPr/>
          <w:p>
            <w:pPr>
              <w:pStyle w:val="Compact"/>
              <w:jc w:val="right"/>
            </w:pPr>
            <w:r>
              <w:t xml:space="preserve">0.007</w:t>
            </w:r>
          </w:p>
        </w:tc>
      </w:tr>
      <w:tr>
        <w:tc>
          <w:tcPr/>
          <w:p>
            <w:pPr>
              <w:pStyle w:val="Compact"/>
              <w:jc w:val="left"/>
            </w:pPr>
            <w:r>
              <w:t xml:space="preserve">Lake</w:t>
            </w:r>
          </w:p>
        </w:tc>
        <w:tc>
          <w:tcPr/>
          <w:p>
            <w:pPr>
              <w:pStyle w:val="Compact"/>
              <w:jc w:val="right"/>
            </w:pPr>
            <w:r>
              <w:t xml:space="preserve">0.016</w:t>
            </w:r>
          </w:p>
        </w:tc>
        <w:tc>
          <w:tcPr/>
          <w:p>
            <w:pPr>
              <w:pStyle w:val="Compact"/>
              <w:jc w:val="left"/>
            </w:pPr>
            <w:r>
              <w:t xml:space="preserve">Orange</w:t>
            </w:r>
          </w:p>
        </w:tc>
        <w:tc>
          <w:tcPr/>
          <w:p>
            <w:pPr>
              <w:pStyle w:val="Compact"/>
              <w:jc w:val="right"/>
            </w:pPr>
            <w:r>
              <w:t xml:space="preserve">0.006</w:t>
            </w:r>
          </w:p>
        </w:tc>
      </w:tr>
    </w:tbl>
    <w:p>
      <w:pPr>
        <w:pStyle w:val="BodyText"/>
      </w:pPr>
      <w:r>
        <w:rPr>
          <w:bCs/>
          <w:b/>
        </w:rPr>
        <w:t xml:space="preserve">Table 2. The origins of Florida resident anglers fishing in Broward County, for 2013-2023.</w:t>
      </w:r>
      <w:r>
        <w:br/>
      </w:r>
      <w:r>
        <w:t xml:space="preserve">This table shows where Florida resident anglers come from when they fish Broward County.</w:t>
      </w:r>
      <w:r>
        <w:t xml:space="preserve"> </w:t>
      </w:r>
      <w:r>
        <w:rPr>
          <w:bCs/>
          <w:b/>
        </w:rPr>
        <w:t xml:space="preserve">Columns 1 &amp; 2</w:t>
      </w:r>
      <w:r>
        <w:rPr>
          <w:bCs/>
          <w:b/>
        </w:rPr>
        <w:t xml:space="preserve"> </w:t>
      </w:r>
      <w:r>
        <w:t xml:space="preserve"> </w:t>
      </w:r>
      <w:r>
        <w:t xml:space="preserve">show origins of trips in Broward County by anglers who are</w:t>
      </w:r>
      <w:r>
        <w:t xml:space="preserve"> </w:t>
      </w:r>
      <w:r>
        <w:rPr>
          <w:bCs/>
          <w:b/>
        </w:rPr>
        <w:t xml:space="preserve">not</w:t>
      </w:r>
      <w:r>
        <w:t xml:space="preserve"> </w:t>
      </w:r>
      <w:r>
        <w:t xml:space="preserve">residents of Broward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Broward County. This information can be used to identifying in-state advertising.</w:t>
      </w:r>
    </w:p>
    <w:p>
      <w:pPr>
        <w:pStyle w:val="BodyText"/>
      </w:pPr>
    </w:p>
    <w:bookmarkEnd w:id="23"/>
    <w:bookmarkEnd w:id="24"/>
    <w:bookmarkStart w:id="26" w:name="what-people-fish-for-in-broward-county"/>
    <w:p>
      <w:pPr>
        <w:pStyle w:val="Heading3"/>
      </w:pPr>
      <w:r>
        <w:t xml:space="preserve">What people fish for in Broward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03"/>
        <w:gridCol w:w="456"/>
        <w:gridCol w:w="1218"/>
        <w:gridCol w:w="456"/>
        <w:gridCol w:w="1523"/>
        <w:gridCol w:w="456"/>
        <w:gridCol w:w="1446"/>
        <w:gridCol w:w="456"/>
      </w:tblGrid>
      <w:tr>
        <w:trPr>
          <w:tblHeader w:val="true"/>
        </w:trPr>
        <w:tc>
          <w:tcPr/>
          <w:p>
            <w:pPr>
              <w:pStyle w:val="Compact"/>
              <w:jc w:val="left"/>
            </w:pPr>
            <w:r>
              <w:t xml:space="preserve">All Broward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0.609</w:t>
            </w:r>
          </w:p>
        </w:tc>
        <w:tc>
          <w:tcPr/>
          <w:p>
            <w:pPr>
              <w:pStyle w:val="Compact"/>
              <w:jc w:val="left"/>
            </w:pPr>
            <w:r>
              <w:t xml:space="preserve">No Target</w:t>
            </w:r>
          </w:p>
        </w:tc>
        <w:tc>
          <w:tcPr/>
          <w:p>
            <w:pPr>
              <w:pStyle w:val="Compact"/>
              <w:jc w:val="right"/>
            </w:pPr>
            <w:r>
              <w:t xml:space="preserve">0.517</w:t>
            </w:r>
          </w:p>
        </w:tc>
        <w:tc>
          <w:tcPr/>
          <w:p>
            <w:pPr>
              <w:pStyle w:val="Compact"/>
              <w:jc w:val="left"/>
            </w:pPr>
            <w:r>
              <w:t xml:space="preserve">No Target</w:t>
            </w:r>
          </w:p>
        </w:tc>
        <w:tc>
          <w:tcPr/>
          <w:p>
            <w:pPr>
              <w:pStyle w:val="Compact"/>
              <w:jc w:val="right"/>
            </w:pPr>
            <w:r>
              <w:t xml:space="preserve">0.759</w:t>
            </w:r>
          </w:p>
        </w:tc>
        <w:tc>
          <w:tcPr/>
          <w:p>
            <w:pPr>
              <w:pStyle w:val="Compact"/>
              <w:jc w:val="left"/>
            </w:pPr>
            <w:r>
              <w:t xml:space="preserve">No Target</w:t>
            </w:r>
          </w:p>
        </w:tc>
        <w:tc>
          <w:tcPr/>
          <w:p>
            <w:pPr>
              <w:pStyle w:val="Compact"/>
              <w:jc w:val="right"/>
            </w:pPr>
            <w:r>
              <w:t xml:space="preserve">0.839</w:t>
            </w:r>
          </w:p>
        </w:tc>
      </w:tr>
      <w:tr>
        <w:tc>
          <w:tcPr/>
          <w:p>
            <w:pPr>
              <w:pStyle w:val="Compact"/>
              <w:jc w:val="left"/>
            </w:pPr>
            <w:r>
              <w:t xml:space="preserve">Dolphin</w:t>
            </w:r>
          </w:p>
        </w:tc>
        <w:tc>
          <w:tcPr/>
          <w:p>
            <w:pPr>
              <w:pStyle w:val="Compact"/>
              <w:jc w:val="right"/>
            </w:pPr>
            <w:r>
              <w:t xml:space="preserve">0.147</w:t>
            </w:r>
          </w:p>
        </w:tc>
        <w:tc>
          <w:tcPr/>
          <w:p>
            <w:pPr>
              <w:pStyle w:val="Compact"/>
              <w:jc w:val="left"/>
            </w:pPr>
            <w:r>
              <w:t xml:space="preserve">Dolphin</w:t>
            </w:r>
          </w:p>
        </w:tc>
        <w:tc>
          <w:tcPr/>
          <w:p>
            <w:pPr>
              <w:pStyle w:val="Compact"/>
              <w:jc w:val="right"/>
            </w:pPr>
            <w:r>
              <w:t xml:space="preserve">0.191</w:t>
            </w:r>
          </w:p>
        </w:tc>
        <w:tc>
          <w:tcPr/>
          <w:p>
            <w:pPr>
              <w:pStyle w:val="Compact"/>
              <w:jc w:val="left"/>
            </w:pPr>
            <w:r>
              <w:t xml:space="preserve">Dolphin</w:t>
            </w:r>
          </w:p>
        </w:tc>
        <w:tc>
          <w:tcPr/>
          <w:p>
            <w:pPr>
              <w:pStyle w:val="Compact"/>
              <w:jc w:val="right"/>
            </w:pPr>
            <w:r>
              <w:t xml:space="preserve">0.075</w:t>
            </w:r>
          </w:p>
        </w:tc>
        <w:tc>
          <w:tcPr/>
          <w:p>
            <w:pPr>
              <w:pStyle w:val="Compact"/>
              <w:jc w:val="left"/>
            </w:pPr>
            <w:r>
              <w:t xml:space="preserve">Dolphin</w:t>
            </w:r>
          </w:p>
        </w:tc>
        <w:tc>
          <w:tcPr/>
          <w:p>
            <w:pPr>
              <w:pStyle w:val="Compact"/>
              <w:jc w:val="right"/>
            </w:pPr>
            <w:r>
              <w:t xml:space="preserve">0.051</w:t>
            </w:r>
          </w:p>
        </w:tc>
      </w:tr>
      <w:tr>
        <w:tc>
          <w:tcPr/>
          <w:p>
            <w:pPr>
              <w:pStyle w:val="Compact"/>
              <w:jc w:val="left"/>
            </w:pPr>
            <w:r>
              <w:t xml:space="preserve">Snapper family</w:t>
            </w:r>
          </w:p>
        </w:tc>
        <w:tc>
          <w:tcPr/>
          <w:p>
            <w:pPr>
              <w:pStyle w:val="Compact"/>
              <w:jc w:val="right"/>
            </w:pPr>
            <w:r>
              <w:t xml:space="preserve">0.028</w:t>
            </w:r>
          </w:p>
        </w:tc>
        <w:tc>
          <w:tcPr/>
          <w:p>
            <w:pPr>
              <w:pStyle w:val="Compact"/>
              <w:jc w:val="left"/>
            </w:pPr>
            <w:r>
              <w:t xml:space="preserve">Snapper family</w:t>
            </w:r>
          </w:p>
        </w:tc>
        <w:tc>
          <w:tcPr/>
          <w:p>
            <w:pPr>
              <w:pStyle w:val="Compact"/>
              <w:jc w:val="right"/>
            </w:pPr>
            <w:r>
              <w:t xml:space="preserve">0.038</w:t>
            </w:r>
          </w:p>
        </w:tc>
        <w:tc>
          <w:tcPr/>
          <w:p>
            <w:pPr>
              <w:pStyle w:val="Compact"/>
              <w:jc w:val="left"/>
            </w:pPr>
            <w:r>
              <w:t xml:space="preserve">Wahoo</w:t>
            </w:r>
          </w:p>
        </w:tc>
        <w:tc>
          <w:tcPr/>
          <w:p>
            <w:pPr>
              <w:pStyle w:val="Compact"/>
              <w:jc w:val="right"/>
            </w:pPr>
            <w:r>
              <w:t xml:space="preserve">0.022</w:t>
            </w:r>
          </w:p>
        </w:tc>
        <w:tc>
          <w:tcPr/>
          <w:p>
            <w:pPr>
              <w:pStyle w:val="Compact"/>
              <w:jc w:val="left"/>
            </w:pPr>
            <w:r>
              <w:t xml:space="preserve">Sailfish</w:t>
            </w:r>
          </w:p>
        </w:tc>
        <w:tc>
          <w:tcPr/>
          <w:p>
            <w:pPr>
              <w:pStyle w:val="Compact"/>
              <w:jc w:val="right"/>
            </w:pPr>
            <w:r>
              <w:t xml:space="preserve">0.018</w:t>
            </w:r>
          </w:p>
        </w:tc>
      </w:tr>
      <w:tr>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Common snook</w:t>
            </w:r>
          </w:p>
        </w:tc>
        <w:tc>
          <w:tcPr/>
          <w:p>
            <w:pPr>
              <w:pStyle w:val="Compact"/>
              <w:jc w:val="right"/>
            </w:pPr>
            <w:r>
              <w:t xml:space="preserve">0.014</w:t>
            </w:r>
          </w:p>
        </w:tc>
        <w:tc>
          <w:tcPr/>
          <w:p>
            <w:pPr>
              <w:pStyle w:val="Compact"/>
              <w:jc w:val="left"/>
            </w:pPr>
            <w:r>
              <w:t xml:space="preserve">Wahoo</w:t>
            </w:r>
          </w:p>
        </w:tc>
        <w:tc>
          <w:tcPr/>
          <w:p>
            <w:pPr>
              <w:pStyle w:val="Compact"/>
              <w:jc w:val="right"/>
            </w:pPr>
            <w:r>
              <w:t xml:space="preserve">0.016</w:t>
            </w:r>
          </w:p>
        </w:tc>
      </w:tr>
      <w:tr>
        <w:tc>
          <w:tcPr/>
          <w:p>
            <w:pPr>
              <w:pStyle w:val="Compact"/>
              <w:jc w:val="left"/>
            </w:pPr>
            <w:r>
              <w:t xml:space="preserve">Wahoo</w:t>
            </w:r>
          </w:p>
        </w:tc>
        <w:tc>
          <w:tcPr/>
          <w:p>
            <w:pPr>
              <w:pStyle w:val="Compact"/>
              <w:jc w:val="right"/>
            </w:pPr>
            <w:r>
              <w:t xml:space="preserve">0.025</w:t>
            </w:r>
          </w:p>
        </w:tc>
        <w:tc>
          <w:tcPr/>
          <w:p>
            <w:pPr>
              <w:pStyle w:val="Compact"/>
              <w:jc w:val="left"/>
            </w:pPr>
            <w:r>
              <w:t xml:space="preserve">Wahoo</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0.014</w:t>
            </w:r>
          </w:p>
        </w:tc>
        <w:tc>
          <w:tcPr/>
          <w:p>
            <w:pPr>
              <w:pStyle w:val="Compact"/>
              <w:jc w:val="left"/>
            </w:pPr>
            <w:r>
              <w:t xml:space="preserve">King mackerel</w:t>
            </w:r>
          </w:p>
        </w:tc>
        <w:tc>
          <w:tcPr/>
          <w:p>
            <w:pPr>
              <w:pStyle w:val="Compact"/>
              <w:jc w:val="right"/>
            </w:pPr>
            <w:r>
              <w:t xml:space="preserve">0.009</w:t>
            </w:r>
          </w:p>
        </w:tc>
      </w:tr>
    </w:tbl>
    <w:p>
      <w:pPr>
        <w:pStyle w:val="BodyText"/>
      </w:pPr>
      <w:r>
        <w:rPr>
          <w:bCs/>
          <w:b/>
        </w:rPr>
        <w:t xml:space="preserve">Table 3. Proportions of species targeted by fishing trips made in Broward County by anglers from various origins, for 2013-2023.</w:t>
      </w:r>
      <w:r>
        <w:br/>
      </w:r>
      <w:r>
        <w:t xml:space="preserve">This table shows the top 5 species anglers fish in Broward County, depending on where they live.</w:t>
      </w:r>
      <w:r>
        <w:t xml:space="preserve"> </w:t>
      </w:r>
      <w:r>
        <w:rPr>
          <w:bCs/>
          <w:b/>
        </w:rPr>
        <w:t xml:space="preserve">Columns 1-2</w:t>
      </w:r>
      <w:r>
        <w:t xml:space="preserve"> </w:t>
      </w:r>
      <w:r>
        <w:t xml:space="preserve">shows what anglers fish for in Broward County regardless of where they come from.</w:t>
      </w:r>
      <w:r>
        <w:t xml:space="preserve"> </w:t>
      </w:r>
      <w:r>
        <w:rPr>
          <w:bCs/>
          <w:b/>
        </w:rPr>
        <w:t xml:space="preserve">Columns 3-4</w:t>
      </w:r>
      <w:r>
        <w:t xml:space="preserve"> </w:t>
      </w:r>
      <w:r>
        <w:t xml:space="preserve">shows what Broward County resident anglers fish for,</w:t>
      </w:r>
      <w:r>
        <w:t xml:space="preserve"> </w:t>
      </w:r>
      <w:r>
        <w:rPr>
          <w:bCs/>
          <w:b/>
        </w:rPr>
        <w:t xml:space="preserve">Columns 5-6</w:t>
      </w:r>
      <w:r>
        <w:t xml:space="preserve"> </w:t>
      </w:r>
      <w:r>
        <w:t xml:space="preserve">shows what anglers who live in Florida but not Broward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770E4-8147-4510-8823-990D1C35996C}"/>
</file>

<file path=customXml/itemProps2.xml><?xml version="1.0" encoding="utf-8"?>
<ds:datastoreItem xmlns:ds="http://schemas.openxmlformats.org/officeDocument/2006/customXml" ds:itemID="{91D0E7EF-6690-4FCA-BEBC-4CC46D41688A}"/>
</file>

<file path=customXml/itemProps3.xml><?xml version="1.0" encoding="utf-8"?>
<ds:datastoreItem xmlns:ds="http://schemas.openxmlformats.org/officeDocument/2006/customXml" ds:itemID="{31779CF2-5F27-49F0-921D-5CA0713413D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Broward County</dc:title>
  <dc:creator>Prepared for Broward County by Ed Camp (edvcamp@ufl.edu) Assistant Professor University of Florida</dc:creator>
  <cp:keywords/>
  <dcterms:created xsi:type="dcterms:W3CDTF">2024-04-24T13:36:10Z</dcterms:created>
  <dcterms:modified xsi:type="dcterms:W3CDTF">2024-04-24T13:36:10Z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