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Wakulla</w:t>
      </w:r>
      <w:r>
        <w:t xml:space="preserve"> </w:t>
      </w:r>
      <w:r>
        <w:t xml:space="preserve">County</w:t>
      </w:r>
    </w:p>
    <w:p>
      <w:pPr>
        <w:pStyle w:val="Author"/>
      </w:pPr>
      <w:r>
        <w:t xml:space="preserve">Prepared</w:t>
      </w:r>
      <w:r>
        <w:t xml:space="preserve"> </w:t>
      </w:r>
      <w:r>
        <w:t xml:space="preserve">for</w:t>
      </w:r>
      <w:r>
        <w:t xml:space="preserve"> </w:t>
      </w:r>
      <w:r>
        <w:t xml:space="preserve">Wakulla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Wakulla County. This information shows the importance of fishing to Wakulla County economies, stakeholders, and ecosystems, and can inform advertising for fishing-based tourism and local planning in Wakulla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Wakull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Wakulla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Wakull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Wakulla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Wakulla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E2432-15D3-4CBE-A0D9-76CED87EBE9F}"/>
</file>

<file path=customXml/itemProps2.xml><?xml version="1.0" encoding="utf-8"?>
<ds:datastoreItem xmlns:ds="http://schemas.openxmlformats.org/officeDocument/2006/customXml" ds:itemID="{5C8582A0-E84C-4479-BF39-9639997457EB}"/>
</file>

<file path=customXml/itemProps3.xml><?xml version="1.0" encoding="utf-8"?>
<ds:datastoreItem xmlns:ds="http://schemas.openxmlformats.org/officeDocument/2006/customXml" ds:itemID="{CCFD2D58-E6E7-4B1D-BD2A-7234210F990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Wakulla County</dc:title>
  <dc:creator>Prepared for Wakulla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2024-04-25T13:19:45Z</dcterms:created>
  <dcterms:modified xsi:type="dcterms:W3CDTF">2024-04-25T13:19:45Z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