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5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Manatee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Manatee</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Chamber</w:t>
      </w:r>
      <w:r>
        <w:t xml:space="preserve"> </w:t>
      </w:r>
      <w:r>
        <w:t xml:space="preserve">of</w:t>
      </w:r>
      <w:r>
        <w:t xml:space="preserve"> </w:t>
      </w:r>
      <w:r>
        <w:t xml:space="preserve">Commerce,</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and</w:t>
      </w:r>
      <w:r>
        <w:t xml:space="preserve"> </w:t>
      </w:r>
      <w:r>
        <w:t xml:space="preserve">the</w:t>
      </w:r>
      <w:r>
        <w:t xml:space="preserve"> </w:t>
      </w:r>
      <w:r>
        <w:t xml:space="preserve">Anna</w:t>
      </w:r>
      <w:r>
        <w:t xml:space="preserve"> </w:t>
      </w:r>
      <w:r>
        <w:t xml:space="preserve">Maria</w:t>
      </w:r>
      <w:r>
        <w:t xml:space="preserve"> </w:t>
      </w:r>
      <w:r>
        <w:t xml:space="preserve">Island</w:t>
      </w:r>
      <w:r>
        <w:t xml:space="preserve"> </w:t>
      </w:r>
      <w:r>
        <w:t xml:space="preserve">Chamber</w:t>
      </w:r>
      <w:r>
        <w:t xml:space="preserve"> </w:t>
      </w:r>
      <w:r>
        <w:t xml:space="preserve">of</w:t>
      </w:r>
      <w:r>
        <w:t xml:space="preserve"> </w:t>
      </w:r>
      <w:r>
        <w:t xml:space="preserve">Commerce</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Angela</w:t>
      </w:r>
      <w:r>
        <w:t xml:space="preserve"> </w:t>
      </w:r>
      <w:r>
        <w:t xml:space="preserve">Collins,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Manatee</w:t>
      </w:r>
      <w:r>
        <w:t xml:space="preserve"> </w:t>
      </w:r>
      <w:r>
        <w:t xml:space="preserve">and</w:t>
      </w:r>
      <w:r>
        <w:t xml:space="preserve"> </w:t>
      </w:r>
      <w:r>
        <w:t xml:space="preserve">Hillsborough</w:t>
      </w:r>
      <w:r>
        <w:t xml:space="preserve"> </w:t>
      </w:r>
      <w:r>
        <w:t xml:space="preserve">Counties,</w:t>
      </w:r>
      <w:r>
        <w:t xml:space="preserve"> </w:t>
      </w:r>
      <w:hyperlink r:id="rId21">
        <w:r>
          <w:rPr>
            <w:rStyle w:val="Hyperlink"/>
          </w:rPr>
          <w:t xml:space="preserve">abcollins@ufl.edu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3"/>
      </w:pPr>
      <w:bookmarkStart w:id="22" w:name="abbreviations-and-definitions"/>
      <w:r>
        <w:t xml:space="preserve">Abbreviations and Definitions</w:t>
      </w:r>
      <w:bookmarkEnd w:id="22"/>
    </w:p>
    <w:p>
      <w:pPr>
        <w:pStyle w:val="FirstParagraph"/>
      </w:pPr>
      <w:r>
        <w:rPr>
          <w:b/>
        </w:rPr>
        <w:t xml:space="preserve">NMFS</w:t>
      </w:r>
      <w:r>
        <w:t xml:space="preserve">: National Marine Fisheries Service.</w:t>
      </w:r>
      <w:r>
        <w:br w:type="textWrapping"/>
      </w:r>
      <w:r>
        <w:rPr>
          <w:b/>
        </w:rPr>
        <w:t xml:space="preserve">MRIP</w:t>
      </w:r>
      <w:r>
        <w:t xml:space="preserve">: Marine Recreational Information Program, which is operated by NMFS to survey coastal anglers.</w:t>
      </w:r>
      <w:r>
        <w:br w:type="textWrapping"/>
      </w:r>
      <w:r>
        <w:rPr>
          <w:b/>
        </w:rPr>
        <w:t xml:space="preserve">APAIS</w:t>
      </w:r>
      <w:r>
        <w:t xml:space="preserve">: Access Point Angler Intercept Survey, the survey implemented by MRIP to collect information about angling.</w:t>
      </w:r>
      <w:r>
        <w:br w:type="textWrapping"/>
      </w:r>
      <w:r>
        <w:rPr>
          <w:b/>
        </w:rPr>
        <w:t xml:space="preserve">Tampa Bay region</w:t>
      </w:r>
      <w:r>
        <w:t xml:space="preserve">: refers to the areas of and marine waters adjacent to Pinellas, Hillsborough, Manatee, and Sarasota counties.</w:t>
      </w:r>
    </w:p>
    <w:p>
      <w:r>
        <w:br w:type="page"/>
      </w:r>
    </w:p>
    <w:p>
      <w:pPr>
        <w:pStyle w:val="Heading3"/>
      </w:pPr>
      <w:bookmarkStart w:id="23" w:name="overview-summary"/>
      <w:r>
        <w:t xml:space="preserve">Overview Summary</w:t>
      </w:r>
      <w:bookmarkEnd w:id="23"/>
    </w:p>
    <w:p>
      <w:pPr>
        <w:pStyle w:val="FirstParagraph"/>
      </w:pPr>
      <w:r>
        <w:rPr>
          <w:i/>
        </w:rPr>
        <w:t xml:space="preserve">Why this report might be important</w:t>
      </w:r>
      <w:r>
        <w:br w:type="textWrapping"/>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Manatee County.</w:t>
      </w:r>
      <w:r>
        <w:t xml:space="preserve"> </w:t>
      </w:r>
      <w:r>
        <w:rPr>
          <w:b/>
        </w:rPr>
        <w:t xml:space="preserve">Specifically this information can be used to inform advertisements of the for-hire fishing and related tourism in Manatee County.</w:t>
      </w:r>
    </w:p>
    <w:p>
      <w:pPr>
        <w:pStyle w:val="BodyText"/>
      </w:pPr>
      <w:r>
        <w:rPr>
          <w:i/>
        </w:rPr>
        <w:t xml:space="preserve">What this report can be used for</w:t>
      </w:r>
      <w:r>
        <w:br w:type="textWrapping"/>
      </w:r>
      <w:r>
        <w:t xml:space="preserve">This report is designed to provide information about marine recreational for-hire fishing dynamics in Manatee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Manatee County. Angler targeting and travel information may have several uses. Understanding what fish species are commonly targeted may help inform:</w:t>
      </w:r>
    </w:p>
    <w:p>
      <w:pPr>
        <w:pStyle w:val="Compact"/>
        <w:numPr>
          <w:numId w:val="1001"/>
          <w:ilvl w:val="0"/>
        </w:numPr>
      </w:pPr>
      <w:r>
        <w:t xml:space="preserve">Which species are most popular with local or non-local angler clients.</w:t>
      </w:r>
    </w:p>
    <w:p>
      <w:pPr>
        <w:pStyle w:val="Compact"/>
        <w:numPr>
          <w:numId w:val="1001"/>
          <w:ilvl w:val="0"/>
        </w:numPr>
      </w:pPr>
      <w:r>
        <w:t xml:space="preserve">How to best advertise fishing in this area–e.g. what fish species should be pictured in advertisements.</w:t>
      </w:r>
    </w:p>
    <w:p>
      <w:pPr>
        <w:pStyle w:val="Compact"/>
        <w:numPr>
          <w:numId w:val="1001"/>
          <w:ilvl w:val="0"/>
        </w:numPr>
      </w:pPr>
      <w:r>
        <w:t xml:space="preserve">Which fishery management rule changes</w:t>
      </w:r>
      <w:r>
        <w:t xml:space="preserve"> </w:t>
      </w:r>
      <w:r>
        <w:rPr>
          <w:b/>
        </w:rPr>
        <w:t xml:space="preserve">might</w:t>
      </w:r>
      <w:r>
        <w:t xml:space="preserve"> </w:t>
      </w:r>
      <w:r>
        <w:t xml:space="preserve">most affect the local for-hire industry and their angler clients.</w:t>
      </w:r>
    </w:p>
    <w:p>
      <w:pPr>
        <w:pStyle w:val="Compact"/>
        <w:numPr>
          <w:numId w:val="1001"/>
          <w:ilvl w:val="0"/>
        </w:numPr>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pStyle w:val="Compact"/>
        <w:numPr>
          <w:numId w:val="1002"/>
          <w:ilvl w:val="0"/>
        </w:numPr>
      </w:pPr>
      <w:r>
        <w:t xml:space="preserve">Locations to place advertisements for local for-hire fishing. For example, does it make more sense to advertise Manatee County recreational fishing in New York, or in Georgia?.</w:t>
      </w:r>
    </w:p>
    <w:p>
      <w:pPr>
        <w:pStyle w:val="Compact"/>
        <w:numPr>
          <w:numId w:val="1002"/>
          <w:ilvl w:val="0"/>
        </w:numPr>
      </w:pPr>
      <w:r>
        <w:t xml:space="preserve">Which people might want to be involved in local for-hire fisheries decision-making. For example, if many angler clients who commonly fish Manatee County reside in other counties, these anglers may be interested in Manatee County rule changes.</w:t>
      </w:r>
    </w:p>
    <w:p>
      <w:pPr>
        <w:pStyle w:val="FirstParagraph"/>
      </w:pPr>
      <w:r>
        <w:t xml:space="preserve">Together, this information is intended to help the local for-hire fishing industry and related tourism industry of Manatee County. It may also be useful to the the Manatee County Tourist Development Council, Chamber of Commerce, and Board of County Commissioners and the Anna Maria Island Chamber of Commerce, especially if they work with or on behalf of the for-hire fishing industry to promote marine for-hire fishing-based tourism in Manatee County.</w:t>
      </w:r>
    </w:p>
    <w:p>
      <w:pPr>
        <w:pStyle w:val="BodyText"/>
      </w:pPr>
      <w:r>
        <w:rPr>
          <w:i/>
        </w:rPr>
        <w:t xml:space="preserve">Where the information from this report comes from</w:t>
      </w:r>
      <w:r>
        <w:br w:type="textWrapping"/>
      </w:r>
      <w:r>
        <w:t xml:space="preserve">All of the data in this report come from the NOAA’s National Marine Fisheries Program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p>
      <w:pPr>
        <w:pStyle w:val="Heading3"/>
      </w:pPr>
      <w:bookmarkStart w:id="25" w:name="nmfs-mrip-background"/>
      <w:r>
        <w:t xml:space="preserve">NMFS MRIP background</w:t>
      </w:r>
      <w:bookmarkEnd w:id="25"/>
    </w:p>
    <w:p>
      <w:pPr>
        <w:pStyle w:val="FirstParagraph"/>
      </w:pPr>
      <w:r>
        <w:rPr>
          <w:i/>
        </w:rPr>
        <w:t xml:space="preserve">What is MRIP–the Marine Recreational Information Program?</w:t>
      </w:r>
      <w:r>
        <w:br w:type="textWrapping"/>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pStyle w:val="Compact"/>
        <w:numPr>
          <w:numId w:val="1003"/>
          <w:ilvl w:val="0"/>
        </w:numPr>
      </w:pPr>
      <w:r>
        <w:t xml:space="preserve">How many recreational fishing trips are being taken in a region and time period?</w:t>
      </w:r>
    </w:p>
    <w:p>
      <w:pPr>
        <w:pStyle w:val="Compact"/>
        <w:numPr>
          <w:numId w:val="1003"/>
          <w:ilvl w:val="0"/>
        </w:numPr>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pStyle w:val="Compact"/>
        <w:numPr>
          <w:numId w:val="1003"/>
          <w:ilvl w:val="0"/>
        </w:numPr>
      </w:pPr>
      <w:r>
        <w:t xml:space="preserve">How many of these trips target a certain species?</w:t>
      </w:r>
    </w:p>
    <w:p>
      <w:pPr>
        <w:pStyle w:val="Compact"/>
        <w:numPr>
          <w:numId w:val="1003"/>
          <w:ilvl w:val="0"/>
        </w:numPr>
      </w:pPr>
      <w:r>
        <w:t xml:space="preserve">What state and county do anglers come from when they fish a certain area?</w:t>
      </w:r>
    </w:p>
    <w:p>
      <w:pPr>
        <w:pStyle w:val="Compact"/>
        <w:numPr>
          <w:numId w:val="1003"/>
          <w:ilvl w:val="0"/>
        </w:numPr>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
        </w:rPr>
        <w:t xml:space="preserve">What MRIP information does this report use?</w:t>
      </w:r>
      <w:r>
        <w:br w:type="textWrapping"/>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
        </w:rPr>
        <w:t xml:space="preserve">Additional information about MRIP</w:t>
      </w:r>
      <w:r>
        <w:br w:type="textWrapping"/>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p>
      <w:pPr>
        <w:pStyle w:val="Heading3"/>
      </w:pPr>
      <w:bookmarkStart w:id="28" w:name="fishing-trip-origins-where-do-your-anglers-come-from"/>
      <w:r>
        <w:t xml:space="preserve">Fishing Trip Origins: Where do your anglers come from?</w:t>
      </w:r>
      <w:bookmarkEnd w:id="28"/>
    </w:p>
    <w:p>
      <w:pPr>
        <w:pStyle w:val="FirstParagraph"/>
      </w:pPr>
      <w:r>
        <w:rPr>
          <w:i/>
        </w:rPr>
        <w:t xml:space="preserve">Background on data used</w:t>
      </w:r>
      <w:r>
        <w:br w:type="textWrapping"/>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p>
    <w:p>
      <w:pPr>
        <w:pStyle w:val="BodyText"/>
      </w:pPr>
      <w:r>
        <w:rPr>
          <w:i/>
        </w:rPr>
        <w:t xml:space="preserve">Fishing Trip Origins: Background on methods used</w:t>
      </w:r>
      <w:r>
        <w:br w:type="textWrapping"/>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Manatee County—i.e. the trips where anglers’ fishing destination was in marine waters adjacent to Manatee County, regardless of where the origin was. Once we have isolated the trips occurring in Manatee County, we can analyze where most of these trips came from. Specifically, we can look at things like:</w:t>
      </w:r>
    </w:p>
    <w:p>
      <w:pPr>
        <w:pStyle w:val="Compact"/>
        <w:numPr>
          <w:numId w:val="1004"/>
          <w:ilvl w:val="0"/>
        </w:numPr>
      </w:pPr>
      <w:r>
        <w:t xml:space="preserve">The proportion of for-hire trips sampled in Manatee County that come from out-of-state origins.</w:t>
      </w:r>
    </w:p>
    <w:p>
      <w:pPr>
        <w:pStyle w:val="Compact"/>
        <w:numPr>
          <w:numId w:val="1004"/>
          <w:ilvl w:val="0"/>
        </w:numPr>
      </w:pPr>
      <w:r>
        <w:t xml:space="preserve">The proportion of for-hire trips sampled in Manatee County with in-state origins.</w:t>
      </w:r>
    </w:p>
    <w:p>
      <w:pPr>
        <w:pStyle w:val="Compact"/>
        <w:numPr>
          <w:numId w:val="1004"/>
          <w:ilvl w:val="0"/>
        </w:numPr>
      </w:pPr>
      <w:r>
        <w:t xml:space="preserve">Both the above, but for trips in a multi-county region that includes Manatee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Manatee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pStyle w:val="Compact"/>
        <w:numPr>
          <w:numId w:val="1005"/>
          <w:ilvl w:val="0"/>
        </w:numPr>
      </w:pPr>
      <w:r>
        <w:t xml:space="preserve">Tables describing where for-hire angler clients come from.</w:t>
      </w:r>
    </w:p>
    <w:p>
      <w:pPr>
        <w:pStyle w:val="Compact"/>
        <w:numPr>
          <w:numId w:val="1005"/>
          <w:ilvl w:val="0"/>
        </w:numPr>
      </w:pPr>
      <w:r>
        <w:t xml:space="preserve">Figures of maps graphically illustrating for-hire angler clients travel.</w:t>
      </w:r>
    </w:p>
    <w:p>
      <w:r>
        <w:br w:type="page"/>
      </w:r>
    </w:p>
    <w:p>
      <w:pPr>
        <w:pStyle w:val="Heading3"/>
      </w:pPr>
      <w:bookmarkStart w:id="30" w:name="fishing-trip-origins-results-tables"/>
      <w:r>
        <w:t xml:space="preserve">Fishing Trip Origins Results: Tables</w:t>
      </w:r>
      <w:bookmarkEnd w:id="30"/>
    </w:p>
    <w:p>
      <w:pPr>
        <w:pStyle w:val="FirstParagraph"/>
      </w:pPr>
      <w:r>
        <w:t xml:space="preserve">We provide two tables summarizing where for-hire angler clients come from when they fish various parts of Florida and specifically the Tampa Bay region and Manatee County.</w:t>
      </w:r>
      <w:r>
        <w:br w:type="textWrapping"/>
      </w:r>
      <w:r>
        <w:rPr>
          <w:b/>
        </w:rPr>
        <w:t xml:space="preserve">Table 1</w:t>
      </w:r>
      <w:r>
        <w:t xml:space="preserve"> </w:t>
      </w:r>
      <w:r>
        <w:t xml:space="preserve">compares the states that out-of-state angler clients come from when they fish either anywhere in Florida, the Tampa Bay region, or specifically Manatee County.</w:t>
      </w:r>
      <w:r>
        <w:br w:type="textWrapping"/>
      </w:r>
      <w:r>
        <w:rPr>
          <w:b/>
        </w:rPr>
        <w:t xml:space="preserve">Table 2</w:t>
      </w:r>
      <w:r>
        <w:t xml:space="preserve"> </w:t>
      </w:r>
      <w:r>
        <w:t xml:space="preserve">shows the county-origins of for-hire trips made by Florida residents. It compares the proportion of sampled trips coming from counties by angler clients (</w:t>
      </w:r>
      <w:r>
        <w:rPr>
          <w:i/>
        </w:rPr>
        <w:t xml:space="preserve">i</w:t>
      </w:r>
      <w:r>
        <w:t xml:space="preserve">) living outside of the Tampa Bay region, (</w:t>
      </w:r>
      <w:r>
        <w:rPr>
          <w:i/>
        </w:rPr>
        <w:t xml:space="preserve">ii</w:t>
      </w:r>
      <w:r>
        <w:t xml:space="preserve">) living outside of Manatee County, and (</w:t>
      </w:r>
      <w:r>
        <w:rPr>
          <w:i/>
        </w:rPr>
        <w:t xml:space="preserve">iii</w:t>
      </w:r>
      <w:r>
        <w:t xml:space="preserve">) living anywhere in Florida, including Manatee County.</w:t>
      </w:r>
    </w:p>
    <w:p>
      <w:pPr>
        <w:pStyle w:val="BodyText"/>
      </w:pPr>
      <w:r>
        <w:t xml:space="preserve">We anticipate these tables may be useful in several ways, including:</w:t>
      </w:r>
    </w:p>
    <w:p>
      <w:pPr>
        <w:pStyle w:val="Compact"/>
        <w:numPr>
          <w:numId w:val="1006"/>
          <w:ilvl w:val="0"/>
        </w:numPr>
      </w:pPr>
      <w:r>
        <w:t xml:space="preserve">Understanding where for-hire angler clients fishing in Manatee County come from, which may inform placement of fishing and tourism advertisements.</w:t>
      </w:r>
    </w:p>
    <w:p>
      <w:pPr>
        <w:pStyle w:val="Compact"/>
        <w:numPr>
          <w:numId w:val="1006"/>
          <w:ilvl w:val="0"/>
        </w:numPr>
      </w:pPr>
      <w:r>
        <w:t xml:space="preserve">Understanding how for-hire angler client origins may differ between Manatee County and surrounding areas. This can potentially be used to further fine tune efficient advertisement placement by identifying locations where for-hire fishing captains in Manatee County may compete more or less with nearby counties for angling visitors.</w:t>
      </w:r>
    </w:p>
    <w:p>
      <w:pPr>
        <w:pStyle w:val="Compact"/>
        <w:numPr>
          <w:numId w:val="1006"/>
          <w:ilvl w:val="0"/>
        </w:numPr>
      </w:pPr>
      <w:r>
        <w:t xml:space="preserve">Understanding what proportion of angler clients fishing Manatee County are local vs. visitors, which may be useful for deciding where to have meetings about Manatee County for-hire fishing.</w:t>
      </w:r>
    </w:p>
    <w:p>
      <w:r>
        <w:br w:type="page"/>
      </w:r>
    </w:p>
    <w:p>
      <w:pPr>
        <w:pStyle w:val="Heading4"/>
      </w:pPr>
      <w:bookmarkStart w:id="31" w:name="table-1"/>
      <w:r>
        <w:t xml:space="preserve">Table 1</w:t>
      </w:r>
      <w:bookmarkEnd w:id="31"/>
    </w:p>
    <w:p>
      <w:pPr>
        <w:pStyle w:val="TableCaption"/>
      </w:pPr>
      <w:r>
        <w:t xml:space="preserve">Out-of-state for-hire angler client origins comparison</w:t>
      </w:r>
    </w:p>
    <w:tbl>
      <w:tblPr>
        <w:tblStyle w:val="Table"/>
        <w:tblW w:type="pct" w:w="0.0"/>
        <w:tblLook w:firstRow="1"/>
        <w:tblCaption w:val="Out-of-state for-hire angler client origins comparison"/>
      </w:tblPr>
      <w:tblGrid/>
      <w:tr>
        <w:trPr>
          <w:cnfStyle w:firstRow="1"/>
        </w:trPr>
        <w:tc>
          <w:tcPr>
            <w:tcBorders>
              <w:bottom w:val="single"/>
            </w:tcBorders>
            <w:vAlign w:val="bottom"/>
          </w:tcPr>
          <w:p>
            <w:pPr>
              <w:pStyle w:val="Compact"/>
              <w:jc w:val="left"/>
            </w:pPr>
            <w:r>
              <w:t xml:space="preserve">Orig.(FL)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Orig.(Tampa Bay)</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Orig.(Manatee)</w:t>
            </w:r>
          </w:p>
        </w:tc>
        <w:tc>
          <w:tcPr>
            <w:tcBorders>
              <w:bottom w:val="single"/>
            </w:tcBorders>
            <w:vAlign w:val="bottom"/>
          </w:tcPr>
          <w:p>
            <w:pPr>
              <w:pStyle w:val="Compact"/>
              <w:jc w:val="right"/>
            </w:pPr>
            <w:r>
              <w:t xml:space="preserve">Prop.</w:t>
            </w:r>
          </w:p>
        </w:tc>
      </w:tr>
      <w:tr>
        <w:tc>
          <w:p>
            <w:pPr>
              <w:pStyle w:val="Compact"/>
              <w:jc w:val="left"/>
            </w:pPr>
            <w:r>
              <w:t xml:space="preserve">Georgia</w:t>
            </w:r>
          </w:p>
        </w:tc>
        <w:tc>
          <w:p>
            <w:pPr>
              <w:pStyle w:val="Compact"/>
              <w:jc w:val="right"/>
            </w:pPr>
            <w:r>
              <w:t xml:space="preserve">0.112</w:t>
            </w:r>
          </w:p>
        </w:tc>
        <w:tc>
          <w:p>
            <w:pPr>
              <w:pStyle w:val="Compact"/>
              <w:jc w:val="left"/>
            </w:pPr>
            <w:r>
              <w:t xml:space="preserve">Not Available</w:t>
            </w:r>
          </w:p>
        </w:tc>
        <w:tc>
          <w:p>
            <w:pPr>
              <w:pStyle w:val="Compact"/>
              <w:jc w:val="right"/>
            </w:pPr>
            <w:r>
              <w:t xml:space="preserve">0.081</w:t>
            </w:r>
          </w:p>
        </w:tc>
        <w:tc>
          <w:p>
            <w:pPr>
              <w:pStyle w:val="Compact"/>
              <w:jc w:val="left"/>
            </w:pPr>
            <w:r>
              <w:t xml:space="preserve">Not Available</w:t>
            </w:r>
          </w:p>
        </w:tc>
        <w:tc>
          <w:p>
            <w:pPr>
              <w:pStyle w:val="Compact"/>
              <w:jc w:val="right"/>
            </w:pPr>
            <w:r>
              <w:t xml:space="preserve">0.101</w:t>
            </w:r>
          </w:p>
        </w:tc>
      </w:tr>
      <w:tr>
        <w:tc>
          <w:p>
            <w:pPr>
              <w:pStyle w:val="Compact"/>
              <w:jc w:val="left"/>
            </w:pPr>
            <w:r>
              <w:t xml:space="preserve">Texas</w:t>
            </w:r>
          </w:p>
        </w:tc>
        <w:tc>
          <w:p>
            <w:pPr>
              <w:pStyle w:val="Compact"/>
              <w:jc w:val="right"/>
            </w:pPr>
            <w:r>
              <w:t xml:space="preserve">0.075</w:t>
            </w:r>
          </w:p>
        </w:tc>
        <w:tc>
          <w:p>
            <w:pPr>
              <w:pStyle w:val="Compact"/>
              <w:jc w:val="left"/>
            </w:pPr>
            <w:r>
              <w:t xml:space="preserve">Illinois</w:t>
            </w:r>
          </w:p>
        </w:tc>
        <w:tc>
          <w:p>
            <w:pPr>
              <w:pStyle w:val="Compact"/>
              <w:jc w:val="right"/>
            </w:pPr>
            <w:r>
              <w:t xml:space="preserve">0.079</w:t>
            </w:r>
          </w:p>
        </w:tc>
        <w:tc>
          <w:p>
            <w:pPr>
              <w:pStyle w:val="Compact"/>
              <w:jc w:val="left"/>
            </w:pPr>
            <w:r>
              <w:t xml:space="preserve">Ohio</w:t>
            </w:r>
          </w:p>
        </w:tc>
        <w:tc>
          <w:p>
            <w:pPr>
              <w:pStyle w:val="Compact"/>
              <w:jc w:val="right"/>
            </w:pPr>
            <w:r>
              <w:t xml:space="preserve">0.089</w:t>
            </w:r>
          </w:p>
        </w:tc>
      </w:tr>
      <w:tr>
        <w:tc>
          <w:p>
            <w:pPr>
              <w:pStyle w:val="Compact"/>
              <w:jc w:val="left"/>
            </w:pPr>
            <w:r>
              <w:t xml:space="preserve">Not Available</w:t>
            </w:r>
          </w:p>
        </w:tc>
        <w:tc>
          <w:p>
            <w:pPr>
              <w:pStyle w:val="Compact"/>
              <w:jc w:val="right"/>
            </w:pPr>
            <w:r>
              <w:t xml:space="preserve">0.061</w:t>
            </w:r>
          </w:p>
        </w:tc>
        <w:tc>
          <w:p>
            <w:pPr>
              <w:pStyle w:val="Compact"/>
              <w:jc w:val="left"/>
            </w:pPr>
            <w:r>
              <w:t xml:space="preserve">Ohio</w:t>
            </w:r>
          </w:p>
        </w:tc>
        <w:tc>
          <w:p>
            <w:pPr>
              <w:pStyle w:val="Compact"/>
              <w:jc w:val="right"/>
            </w:pPr>
            <w:r>
              <w:t xml:space="preserve">0.073</w:t>
            </w:r>
          </w:p>
        </w:tc>
        <w:tc>
          <w:p>
            <w:pPr>
              <w:pStyle w:val="Compact"/>
              <w:jc w:val="left"/>
            </w:pPr>
            <w:r>
              <w:t xml:space="preserve">Illinois</w:t>
            </w:r>
          </w:p>
        </w:tc>
        <w:tc>
          <w:p>
            <w:pPr>
              <w:pStyle w:val="Compact"/>
              <w:jc w:val="right"/>
            </w:pPr>
            <w:r>
              <w:t xml:space="preserve">0.085</w:t>
            </w:r>
          </w:p>
        </w:tc>
      </w:tr>
      <w:tr>
        <w:tc>
          <w:p>
            <w:pPr>
              <w:pStyle w:val="Compact"/>
              <w:jc w:val="left"/>
            </w:pPr>
            <w:r>
              <w:t xml:space="preserve">Tennessee</w:t>
            </w:r>
          </w:p>
        </w:tc>
        <w:tc>
          <w:p>
            <w:pPr>
              <w:pStyle w:val="Compact"/>
              <w:jc w:val="right"/>
            </w:pPr>
            <w:r>
              <w:t xml:space="preserve">0.060</w:t>
            </w:r>
          </w:p>
        </w:tc>
        <w:tc>
          <w:p>
            <w:pPr>
              <w:pStyle w:val="Compact"/>
              <w:jc w:val="left"/>
            </w:pPr>
            <w:r>
              <w:t xml:space="preserve">Michigan</w:t>
            </w:r>
          </w:p>
        </w:tc>
        <w:tc>
          <w:p>
            <w:pPr>
              <w:pStyle w:val="Compact"/>
              <w:jc w:val="right"/>
            </w:pPr>
            <w:r>
              <w:t xml:space="preserve">0.066</w:t>
            </w:r>
          </w:p>
        </w:tc>
        <w:tc>
          <w:p>
            <w:pPr>
              <w:pStyle w:val="Compact"/>
              <w:jc w:val="left"/>
            </w:pPr>
            <w:r>
              <w:t xml:space="preserve">New York</w:t>
            </w:r>
          </w:p>
        </w:tc>
        <w:tc>
          <w:p>
            <w:pPr>
              <w:pStyle w:val="Compact"/>
              <w:jc w:val="right"/>
            </w:pPr>
            <w:r>
              <w:t xml:space="preserve">0.077</w:t>
            </w:r>
          </w:p>
        </w:tc>
      </w:tr>
      <w:tr>
        <w:tc>
          <w:p>
            <w:pPr>
              <w:pStyle w:val="Compact"/>
              <w:jc w:val="left"/>
            </w:pPr>
            <w:r>
              <w:t xml:space="preserve">Alabama</w:t>
            </w:r>
          </w:p>
        </w:tc>
        <w:tc>
          <w:p>
            <w:pPr>
              <w:pStyle w:val="Compact"/>
              <w:jc w:val="right"/>
            </w:pPr>
            <w:r>
              <w:t xml:space="preserve">0.057</w:t>
            </w:r>
          </w:p>
        </w:tc>
        <w:tc>
          <w:p>
            <w:pPr>
              <w:pStyle w:val="Compact"/>
              <w:jc w:val="left"/>
            </w:pPr>
            <w:r>
              <w:t xml:space="preserve">Indiana</w:t>
            </w:r>
          </w:p>
        </w:tc>
        <w:tc>
          <w:p>
            <w:pPr>
              <w:pStyle w:val="Compact"/>
              <w:jc w:val="right"/>
            </w:pPr>
            <w:r>
              <w:t xml:space="preserve">0.057</w:t>
            </w:r>
          </w:p>
        </w:tc>
        <w:tc>
          <w:p>
            <w:pPr>
              <w:pStyle w:val="Compact"/>
              <w:jc w:val="left"/>
            </w:pPr>
            <w:r>
              <w:t xml:space="preserve">Indiana</w:t>
            </w:r>
          </w:p>
        </w:tc>
        <w:tc>
          <w:p>
            <w:pPr>
              <w:pStyle w:val="Compact"/>
              <w:jc w:val="right"/>
            </w:pPr>
            <w:r>
              <w:t xml:space="preserve">0.071</w:t>
            </w:r>
          </w:p>
        </w:tc>
      </w:tr>
      <w:tr>
        <w:tc>
          <w:p>
            <w:pPr>
              <w:pStyle w:val="Compact"/>
              <w:jc w:val="left"/>
            </w:pPr>
            <w:r>
              <w:t xml:space="preserve">Illinois</w:t>
            </w:r>
          </w:p>
        </w:tc>
        <w:tc>
          <w:p>
            <w:pPr>
              <w:pStyle w:val="Compact"/>
              <w:jc w:val="right"/>
            </w:pPr>
            <w:r>
              <w:t xml:space="preserve">0.048</w:t>
            </w:r>
          </w:p>
        </w:tc>
        <w:tc>
          <w:p>
            <w:pPr>
              <w:pStyle w:val="Compact"/>
              <w:jc w:val="left"/>
            </w:pPr>
            <w:r>
              <w:t xml:space="preserve">New York</w:t>
            </w:r>
          </w:p>
        </w:tc>
        <w:tc>
          <w:p>
            <w:pPr>
              <w:pStyle w:val="Compact"/>
              <w:jc w:val="right"/>
            </w:pPr>
            <w:r>
              <w:t xml:space="preserve">0.052</w:t>
            </w:r>
          </w:p>
        </w:tc>
        <w:tc>
          <w:p>
            <w:pPr>
              <w:pStyle w:val="Compact"/>
              <w:jc w:val="left"/>
            </w:pPr>
            <w:r>
              <w:t xml:space="preserve">Pennsylvania</w:t>
            </w:r>
          </w:p>
        </w:tc>
        <w:tc>
          <w:p>
            <w:pPr>
              <w:pStyle w:val="Compact"/>
              <w:jc w:val="right"/>
            </w:pPr>
            <w:r>
              <w:t xml:space="preserve">0.064</w:t>
            </w:r>
          </w:p>
        </w:tc>
      </w:tr>
      <w:tr>
        <w:tc>
          <w:p>
            <w:pPr>
              <w:pStyle w:val="Compact"/>
              <w:jc w:val="left"/>
            </w:pPr>
            <w:r>
              <w:t xml:space="preserve">Ohio</w:t>
            </w:r>
          </w:p>
        </w:tc>
        <w:tc>
          <w:p>
            <w:pPr>
              <w:pStyle w:val="Compact"/>
              <w:jc w:val="right"/>
            </w:pPr>
            <w:r>
              <w:t xml:space="preserve">0.045</w:t>
            </w:r>
          </w:p>
        </w:tc>
        <w:tc>
          <w:p>
            <w:pPr>
              <w:pStyle w:val="Compact"/>
              <w:jc w:val="left"/>
            </w:pPr>
            <w:r>
              <w:t xml:space="preserve">Georgia</w:t>
            </w:r>
          </w:p>
        </w:tc>
        <w:tc>
          <w:p>
            <w:pPr>
              <w:pStyle w:val="Compact"/>
              <w:jc w:val="right"/>
            </w:pPr>
            <w:r>
              <w:t xml:space="preserve">0.049</w:t>
            </w:r>
          </w:p>
        </w:tc>
        <w:tc>
          <w:p>
            <w:pPr>
              <w:pStyle w:val="Compact"/>
              <w:jc w:val="left"/>
            </w:pPr>
            <w:r>
              <w:t xml:space="preserve">Michigan</w:t>
            </w:r>
          </w:p>
        </w:tc>
        <w:tc>
          <w:p>
            <w:pPr>
              <w:pStyle w:val="Compact"/>
              <w:jc w:val="right"/>
            </w:pPr>
            <w:r>
              <w:t xml:space="preserve">0.050</w:t>
            </w:r>
          </w:p>
        </w:tc>
      </w:tr>
      <w:tr>
        <w:tc>
          <w:p>
            <w:pPr>
              <w:pStyle w:val="Compact"/>
              <w:jc w:val="left"/>
            </w:pPr>
            <w:r>
              <w:t xml:space="preserve">New York</w:t>
            </w:r>
          </w:p>
        </w:tc>
        <w:tc>
          <w:p>
            <w:pPr>
              <w:pStyle w:val="Compact"/>
              <w:jc w:val="right"/>
            </w:pPr>
            <w:r>
              <w:t xml:space="preserve">0.040</w:t>
            </w:r>
          </w:p>
        </w:tc>
        <w:tc>
          <w:p>
            <w:pPr>
              <w:pStyle w:val="Compact"/>
              <w:jc w:val="left"/>
            </w:pPr>
            <w:r>
              <w:t xml:space="preserve">Texas</w:t>
            </w:r>
          </w:p>
        </w:tc>
        <w:tc>
          <w:p>
            <w:pPr>
              <w:pStyle w:val="Compact"/>
              <w:jc w:val="right"/>
            </w:pPr>
            <w:r>
              <w:t xml:space="preserve">0.048</w:t>
            </w:r>
          </w:p>
        </w:tc>
        <w:tc>
          <w:p>
            <w:pPr>
              <w:pStyle w:val="Compact"/>
              <w:jc w:val="left"/>
            </w:pPr>
            <w:r>
              <w:t xml:space="preserve">Colorado</w:t>
            </w:r>
          </w:p>
        </w:tc>
        <w:tc>
          <w:p>
            <w:pPr>
              <w:pStyle w:val="Compact"/>
              <w:jc w:val="right"/>
            </w:pPr>
            <w:r>
              <w:t xml:space="preserve">0.049</w:t>
            </w:r>
          </w:p>
        </w:tc>
      </w:tr>
      <w:tr>
        <w:tc>
          <w:p>
            <w:pPr>
              <w:pStyle w:val="Compact"/>
              <w:jc w:val="left"/>
            </w:pPr>
            <w:r>
              <w:t xml:space="preserve">Michigan</w:t>
            </w:r>
          </w:p>
        </w:tc>
        <w:tc>
          <w:p>
            <w:pPr>
              <w:pStyle w:val="Compact"/>
              <w:jc w:val="right"/>
            </w:pPr>
            <w:r>
              <w:t xml:space="preserve">0.039</w:t>
            </w:r>
          </w:p>
        </w:tc>
        <w:tc>
          <w:p>
            <w:pPr>
              <w:pStyle w:val="Compact"/>
              <w:jc w:val="left"/>
            </w:pPr>
            <w:r>
              <w:t xml:space="preserve">Minnesota</w:t>
            </w:r>
          </w:p>
        </w:tc>
        <w:tc>
          <w:p>
            <w:pPr>
              <w:pStyle w:val="Compact"/>
              <w:jc w:val="right"/>
            </w:pPr>
            <w:r>
              <w:t xml:space="preserve">0.047</w:t>
            </w:r>
          </w:p>
        </w:tc>
        <w:tc>
          <w:p>
            <w:pPr>
              <w:pStyle w:val="Compact"/>
              <w:jc w:val="left"/>
            </w:pPr>
            <w:r>
              <w:t xml:space="preserve">Texas</w:t>
            </w:r>
          </w:p>
        </w:tc>
        <w:tc>
          <w:p>
            <w:pPr>
              <w:pStyle w:val="Compact"/>
              <w:jc w:val="right"/>
            </w:pPr>
            <w:r>
              <w:t xml:space="preserve">0.043</w:t>
            </w:r>
          </w:p>
        </w:tc>
      </w:tr>
      <w:tr>
        <w:tc>
          <w:p>
            <w:pPr>
              <w:pStyle w:val="Compact"/>
              <w:jc w:val="left"/>
            </w:pPr>
            <w:r>
              <w:t xml:space="preserve">Indiana</w:t>
            </w:r>
          </w:p>
        </w:tc>
        <w:tc>
          <w:p>
            <w:pPr>
              <w:pStyle w:val="Compact"/>
              <w:jc w:val="right"/>
            </w:pPr>
            <w:r>
              <w:t xml:space="preserve">0.033</w:t>
            </w:r>
          </w:p>
        </w:tc>
        <w:tc>
          <w:p>
            <w:pPr>
              <w:pStyle w:val="Compact"/>
              <w:jc w:val="left"/>
            </w:pPr>
            <w:r>
              <w:t xml:space="preserve">Pennsylvania</w:t>
            </w:r>
          </w:p>
        </w:tc>
        <w:tc>
          <w:p>
            <w:pPr>
              <w:pStyle w:val="Compact"/>
              <w:jc w:val="right"/>
            </w:pPr>
            <w:r>
              <w:t xml:space="preserve">0.039</w:t>
            </w:r>
          </w:p>
        </w:tc>
        <w:tc>
          <w:p>
            <w:pPr>
              <w:pStyle w:val="Compact"/>
              <w:jc w:val="left"/>
            </w:pPr>
            <w:r>
              <w:t xml:space="preserve">Georgia</w:t>
            </w:r>
          </w:p>
        </w:tc>
        <w:tc>
          <w:p>
            <w:pPr>
              <w:pStyle w:val="Compact"/>
              <w:jc w:val="right"/>
            </w:pPr>
            <w:r>
              <w:t xml:space="preserve">0.038</w:t>
            </w:r>
          </w:p>
        </w:tc>
      </w:tr>
    </w:tbl>
    <w:p>
      <w:pPr>
        <w:pStyle w:val="BodyText"/>
      </w:pPr>
      <w:r>
        <w:rPr>
          <w:b/>
        </w:rPr>
        <w:t xml:space="preserve">Table 1. State origins of for-hire angler clients fishing Florida, the Tampa Bay region, and Manatee County, for 2011-2021.</w:t>
      </w:r>
      <w:r>
        <w:br w:type="textWrapping"/>
      </w:r>
      <w:r>
        <w:t xml:space="preserve">This table compares which states out-of-state for-hire angler clients come from when they fish either Florida as a whole, the Tampa Bay region (here defined as including Pinellas, Hillsborough, Manatee, and Sarasota counties), or Manatee County.</w:t>
      </w:r>
    </w:p>
    <w:p>
      <w:pPr>
        <w:pStyle w:val="Compact"/>
        <w:numPr>
          <w:numId w:val="1007"/>
          <w:ilvl w:val="0"/>
        </w:numPr>
      </w:pPr>
      <w:r>
        <w:t xml:space="preserve">Columns 1 &amp; 2 show the state origins of non-Florida residents when they make a for-hire trip to Florida.</w:t>
      </w:r>
    </w:p>
    <w:p>
      <w:pPr>
        <w:pStyle w:val="Compact"/>
        <w:numPr>
          <w:numId w:val="1007"/>
          <w:ilvl w:val="0"/>
        </w:numPr>
      </w:pPr>
      <w:r>
        <w:t xml:space="preserve">Columns 3 &amp; 4 show the state origins of non-Florida residents when they make a for-hire trip to the Tampa Bay region.</w:t>
      </w:r>
    </w:p>
    <w:p>
      <w:pPr>
        <w:pStyle w:val="Compact"/>
        <w:numPr>
          <w:numId w:val="1007"/>
          <w:ilvl w:val="0"/>
        </w:numPr>
      </w:pPr>
      <w:r>
        <w:t xml:space="preserve">Columns 5 &amp; 6 show the state origins of non-Florida residents when they make a for-hire trip to Manatee County.</w:t>
      </w:r>
    </w:p>
    <w:p>
      <w:pPr>
        <w:pStyle w:val="FirstParagraph"/>
      </w:pPr>
      <w:r>
        <w:t xml:space="preserve">This comparison allows understanding where (</w:t>
      </w:r>
      <w:r>
        <w:rPr>
          <w:i/>
        </w:rPr>
        <w:t xml:space="preserve">i</w:t>
      </w:r>
      <w:r>
        <w:t xml:space="preserve">) out of state for-hire angler clients fishing Manatee County come from, and (</w:t>
      </w:r>
      <w:r>
        <w:rPr>
          <w:i/>
        </w:rPr>
        <w:t xml:space="preserve">ii</w:t>
      </w:r>
      <w:r>
        <w:t xml:space="preserve">) how that compares to the local region and broader state of Florida. This may be helpful for understanding if Manatee County is attracting for-hire angler clients from specific origins differently than the surrounding region of the Tampa Bay, or Florida as a whole.</w:t>
      </w:r>
      <w:r>
        <w:br w:type="textWrapping"/>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p>
      <w:pPr>
        <w:pStyle w:val="Heading4"/>
      </w:pPr>
      <w:bookmarkStart w:id="32" w:name="table-2"/>
      <w:r>
        <w:t xml:space="preserve">Table 2</w:t>
      </w:r>
      <w:bookmarkEnd w:id="32"/>
    </w:p>
    <w:p>
      <w:pPr>
        <w:pStyle w:val="TableCaption"/>
      </w:pPr>
      <w:r>
        <w:t xml:space="preserve">In-state for-hire angler client origin comparison</w:t>
      </w:r>
    </w:p>
    <w:tbl>
      <w:tblPr>
        <w:tblStyle w:val="Table"/>
        <w:tblW w:type="pct" w:w="0.0"/>
        <w:tblLook w:firstRow="1"/>
        <w:tblCaption w:val="In-state for-hire angler client origin comparison"/>
      </w:tblPr>
      <w:tblGrid/>
      <w:tr>
        <w:trPr>
          <w:cnfStyle w:firstRow="1"/>
        </w:trPr>
        <w:tc>
          <w:tcPr>
            <w:tcBorders>
              <w:bottom w:val="single"/>
            </w:tcBorders>
            <w:vAlign w:val="bottom"/>
          </w:tcPr>
          <w:p>
            <w:pPr>
              <w:pStyle w:val="Compact"/>
              <w:jc w:val="left"/>
            </w:pPr>
            <w:r>
              <w:t xml:space="preserve">Out-of-region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Out-of-county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Any Orig.</w:t>
            </w:r>
          </w:p>
        </w:tc>
        <w:tc>
          <w:tcPr>
            <w:tcBorders>
              <w:bottom w:val="single"/>
            </w:tcBorders>
            <w:vAlign w:val="bottom"/>
          </w:tcPr>
          <w:p>
            <w:pPr>
              <w:pStyle w:val="Compact"/>
              <w:jc w:val="right"/>
            </w:pPr>
            <w:r>
              <w:t xml:space="preserve">Prop.</w:t>
            </w:r>
          </w:p>
        </w:tc>
      </w:tr>
      <w:tr>
        <w:tc>
          <w:p>
            <w:pPr>
              <w:pStyle w:val="Compact"/>
              <w:jc w:val="left"/>
            </w:pPr>
            <w:r>
              <w:t xml:space="preserve">Polk</w:t>
            </w:r>
          </w:p>
        </w:tc>
        <w:tc>
          <w:p>
            <w:pPr>
              <w:pStyle w:val="Compact"/>
              <w:jc w:val="right"/>
            </w:pPr>
            <w:r>
              <w:t xml:space="preserve">0.192</w:t>
            </w:r>
          </w:p>
        </w:tc>
        <w:tc>
          <w:p>
            <w:pPr>
              <w:pStyle w:val="Compact"/>
              <w:jc w:val="left"/>
            </w:pPr>
            <w:r>
              <w:t xml:space="preserve">Hillsborough</w:t>
            </w:r>
          </w:p>
        </w:tc>
        <w:tc>
          <w:p>
            <w:pPr>
              <w:pStyle w:val="Compact"/>
              <w:jc w:val="right"/>
            </w:pPr>
            <w:r>
              <w:t xml:space="preserve">0.357</w:t>
            </w:r>
          </w:p>
        </w:tc>
        <w:tc>
          <w:p>
            <w:pPr>
              <w:pStyle w:val="Compact"/>
              <w:jc w:val="left"/>
            </w:pPr>
            <w:r>
              <w:t xml:space="preserve">Manatee</w:t>
            </w:r>
          </w:p>
        </w:tc>
        <w:tc>
          <w:p>
            <w:pPr>
              <w:pStyle w:val="Compact"/>
              <w:jc w:val="right"/>
            </w:pPr>
            <w:r>
              <w:t xml:space="preserve">0.336</w:t>
            </w:r>
          </w:p>
        </w:tc>
      </w:tr>
      <w:tr>
        <w:tc>
          <w:p>
            <w:pPr>
              <w:pStyle w:val="Compact"/>
              <w:jc w:val="left"/>
            </w:pPr>
            <w:r>
              <w:t xml:space="preserve">Pasco</w:t>
            </w:r>
          </w:p>
        </w:tc>
        <w:tc>
          <w:p>
            <w:pPr>
              <w:pStyle w:val="Compact"/>
              <w:jc w:val="right"/>
            </w:pPr>
            <w:r>
              <w:t xml:space="preserve">0.185</w:t>
            </w:r>
          </w:p>
        </w:tc>
        <w:tc>
          <w:p>
            <w:pPr>
              <w:pStyle w:val="Compact"/>
              <w:jc w:val="left"/>
            </w:pPr>
            <w:r>
              <w:t xml:space="preserve">Sarasota</w:t>
            </w:r>
          </w:p>
        </w:tc>
        <w:tc>
          <w:p>
            <w:pPr>
              <w:pStyle w:val="Compact"/>
              <w:jc w:val="right"/>
            </w:pPr>
            <w:r>
              <w:t xml:space="preserve">0.155</w:t>
            </w:r>
          </w:p>
        </w:tc>
        <w:tc>
          <w:p>
            <w:pPr>
              <w:pStyle w:val="Compact"/>
              <w:jc w:val="left"/>
            </w:pPr>
            <w:r>
              <w:t xml:space="preserve">Hillsborough</w:t>
            </w:r>
          </w:p>
        </w:tc>
        <w:tc>
          <w:p>
            <w:pPr>
              <w:pStyle w:val="Compact"/>
              <w:jc w:val="right"/>
            </w:pPr>
            <w:r>
              <w:t xml:space="preserve">0.237</w:t>
            </w:r>
          </w:p>
        </w:tc>
      </w:tr>
      <w:tr>
        <w:tc>
          <w:p>
            <w:pPr>
              <w:pStyle w:val="Compact"/>
              <w:jc w:val="left"/>
            </w:pPr>
            <w:r>
              <w:t xml:space="preserve">Orange</w:t>
            </w:r>
          </w:p>
        </w:tc>
        <w:tc>
          <w:p>
            <w:pPr>
              <w:pStyle w:val="Compact"/>
              <w:jc w:val="right"/>
            </w:pPr>
            <w:r>
              <w:t xml:space="preserve">0.154</w:t>
            </w:r>
          </w:p>
        </w:tc>
        <w:tc>
          <w:p>
            <w:pPr>
              <w:pStyle w:val="Compact"/>
              <w:jc w:val="left"/>
            </w:pPr>
            <w:r>
              <w:t xml:space="preserve">Pinellas</w:t>
            </w:r>
          </w:p>
        </w:tc>
        <w:tc>
          <w:p>
            <w:pPr>
              <w:pStyle w:val="Compact"/>
              <w:jc w:val="right"/>
            </w:pPr>
            <w:r>
              <w:t xml:space="preserve">0.103</w:t>
            </w:r>
          </w:p>
        </w:tc>
        <w:tc>
          <w:p>
            <w:pPr>
              <w:pStyle w:val="Compact"/>
              <w:jc w:val="left"/>
            </w:pPr>
            <w:r>
              <w:t xml:space="preserve">Sarasota</w:t>
            </w:r>
          </w:p>
        </w:tc>
        <w:tc>
          <w:p>
            <w:pPr>
              <w:pStyle w:val="Compact"/>
              <w:jc w:val="right"/>
            </w:pPr>
            <w:r>
              <w:t xml:space="preserve">0.103</w:t>
            </w:r>
          </w:p>
        </w:tc>
      </w:tr>
      <w:tr>
        <w:tc>
          <w:p>
            <w:pPr>
              <w:pStyle w:val="Compact"/>
              <w:jc w:val="left"/>
            </w:pPr>
            <w:r>
              <w:t xml:space="preserve">Lake</w:t>
            </w:r>
          </w:p>
        </w:tc>
        <w:tc>
          <w:p>
            <w:pPr>
              <w:pStyle w:val="Compact"/>
              <w:jc w:val="right"/>
            </w:pPr>
            <w:r>
              <w:t xml:space="preserve">0.051</w:t>
            </w:r>
          </w:p>
        </w:tc>
        <w:tc>
          <w:p>
            <w:pPr>
              <w:pStyle w:val="Compact"/>
              <w:jc w:val="left"/>
            </w:pPr>
            <w:r>
              <w:t xml:space="preserve">Orange</w:t>
            </w:r>
          </w:p>
        </w:tc>
        <w:tc>
          <w:p>
            <w:pPr>
              <w:pStyle w:val="Compact"/>
              <w:jc w:val="right"/>
            </w:pPr>
            <w:r>
              <w:t xml:space="preserve">0.096</w:t>
            </w:r>
          </w:p>
        </w:tc>
        <w:tc>
          <w:p>
            <w:pPr>
              <w:pStyle w:val="Compact"/>
              <w:jc w:val="left"/>
            </w:pPr>
            <w:r>
              <w:t xml:space="preserve">Pinellas</w:t>
            </w:r>
          </w:p>
        </w:tc>
        <w:tc>
          <w:p>
            <w:pPr>
              <w:pStyle w:val="Compact"/>
              <w:jc w:val="right"/>
            </w:pPr>
            <w:r>
              <w:t xml:space="preserve">0.068</w:t>
            </w:r>
          </w:p>
        </w:tc>
      </w:tr>
      <w:tr>
        <w:tc>
          <w:p>
            <w:pPr>
              <w:pStyle w:val="Compact"/>
              <w:jc w:val="left"/>
            </w:pPr>
            <w:r>
              <w:t xml:space="preserve">Seminole</w:t>
            </w:r>
          </w:p>
        </w:tc>
        <w:tc>
          <w:p>
            <w:pPr>
              <w:pStyle w:val="Compact"/>
              <w:jc w:val="right"/>
            </w:pPr>
            <w:r>
              <w:t xml:space="preserve">0.039</w:t>
            </w:r>
          </w:p>
        </w:tc>
        <w:tc>
          <w:p>
            <w:pPr>
              <w:pStyle w:val="Compact"/>
              <w:jc w:val="left"/>
            </w:pPr>
            <w:r>
              <w:t xml:space="preserve">Polk</w:t>
            </w:r>
          </w:p>
        </w:tc>
        <w:tc>
          <w:p>
            <w:pPr>
              <w:pStyle w:val="Compact"/>
              <w:jc w:val="right"/>
            </w:pPr>
            <w:r>
              <w:t xml:space="preserve">0.079</w:t>
            </w:r>
          </w:p>
        </w:tc>
        <w:tc>
          <w:p>
            <w:pPr>
              <w:pStyle w:val="Compact"/>
              <w:jc w:val="left"/>
            </w:pPr>
            <w:r>
              <w:t xml:space="preserve">Orange</w:t>
            </w:r>
          </w:p>
        </w:tc>
        <w:tc>
          <w:p>
            <w:pPr>
              <w:pStyle w:val="Compact"/>
              <w:jc w:val="right"/>
            </w:pPr>
            <w:r>
              <w:t xml:space="preserve">0.064</w:t>
            </w:r>
          </w:p>
        </w:tc>
      </w:tr>
      <w:tr>
        <w:tc>
          <w:p>
            <w:pPr>
              <w:pStyle w:val="Compact"/>
              <w:jc w:val="left"/>
            </w:pPr>
            <w:r>
              <w:t xml:space="preserve">Marion</w:t>
            </w:r>
          </w:p>
        </w:tc>
        <w:tc>
          <w:p>
            <w:pPr>
              <w:pStyle w:val="Compact"/>
              <w:jc w:val="right"/>
            </w:pPr>
            <w:r>
              <w:t xml:space="preserve">0.035</w:t>
            </w:r>
          </w:p>
        </w:tc>
        <w:tc>
          <w:p>
            <w:pPr>
              <w:pStyle w:val="Compact"/>
              <w:jc w:val="left"/>
            </w:pPr>
            <w:r>
              <w:t xml:space="preserve">Lee</w:t>
            </w:r>
          </w:p>
        </w:tc>
        <w:tc>
          <w:p>
            <w:pPr>
              <w:pStyle w:val="Compact"/>
              <w:jc w:val="right"/>
            </w:pPr>
            <w:r>
              <w:t xml:space="preserve">0.024</w:t>
            </w:r>
          </w:p>
        </w:tc>
        <w:tc>
          <w:p>
            <w:pPr>
              <w:pStyle w:val="Compact"/>
              <w:jc w:val="left"/>
            </w:pPr>
            <w:r>
              <w:t xml:space="preserve">Polk</w:t>
            </w:r>
          </w:p>
        </w:tc>
        <w:tc>
          <w:p>
            <w:pPr>
              <w:pStyle w:val="Compact"/>
              <w:jc w:val="right"/>
            </w:pPr>
            <w:r>
              <w:t xml:space="preserve">0.053</w:t>
            </w:r>
          </w:p>
        </w:tc>
      </w:tr>
      <w:tr>
        <w:tc>
          <w:p>
            <w:pPr>
              <w:pStyle w:val="Compact"/>
              <w:jc w:val="left"/>
            </w:pPr>
            <w:r>
              <w:t xml:space="preserve">Hernando</w:t>
            </w:r>
          </w:p>
        </w:tc>
        <w:tc>
          <w:p>
            <w:pPr>
              <w:pStyle w:val="Compact"/>
              <w:jc w:val="right"/>
            </w:pPr>
            <w:r>
              <w:t xml:space="preserve">0.030</w:t>
            </w:r>
          </w:p>
        </w:tc>
        <w:tc>
          <w:p>
            <w:pPr>
              <w:pStyle w:val="Compact"/>
              <w:jc w:val="left"/>
            </w:pPr>
            <w:r>
              <w:t xml:space="preserve">Marion</w:t>
            </w:r>
          </w:p>
        </w:tc>
        <w:tc>
          <w:p>
            <w:pPr>
              <w:pStyle w:val="Compact"/>
              <w:jc w:val="right"/>
            </w:pPr>
            <w:r>
              <w:t xml:space="preserve">0.021</w:t>
            </w:r>
          </w:p>
        </w:tc>
        <w:tc>
          <w:p>
            <w:pPr>
              <w:pStyle w:val="Compact"/>
              <w:jc w:val="left"/>
            </w:pPr>
            <w:r>
              <w:t xml:space="preserve">Lee</w:t>
            </w:r>
          </w:p>
        </w:tc>
        <w:tc>
          <w:p>
            <w:pPr>
              <w:pStyle w:val="Compact"/>
              <w:jc w:val="right"/>
            </w:pPr>
            <w:r>
              <w:t xml:space="preserve">0.016</w:t>
            </w:r>
          </w:p>
        </w:tc>
      </w:tr>
      <w:tr>
        <w:tc>
          <w:p>
            <w:pPr>
              <w:pStyle w:val="Compact"/>
              <w:jc w:val="left"/>
            </w:pPr>
            <w:r>
              <w:t xml:space="preserve">Volusia</w:t>
            </w:r>
          </w:p>
        </w:tc>
        <w:tc>
          <w:p>
            <w:pPr>
              <w:pStyle w:val="Compact"/>
              <w:jc w:val="right"/>
            </w:pPr>
            <w:r>
              <w:t xml:space="preserve">0.024</w:t>
            </w:r>
          </w:p>
        </w:tc>
        <w:tc>
          <w:p>
            <w:pPr>
              <w:pStyle w:val="Compact"/>
              <w:jc w:val="left"/>
            </w:pPr>
            <w:r>
              <w:t xml:space="preserve">Pasco</w:t>
            </w:r>
          </w:p>
        </w:tc>
        <w:tc>
          <w:p>
            <w:pPr>
              <w:pStyle w:val="Compact"/>
              <w:jc w:val="right"/>
            </w:pPr>
            <w:r>
              <w:t xml:space="preserve">0.021</w:t>
            </w:r>
          </w:p>
        </w:tc>
        <w:tc>
          <w:p>
            <w:pPr>
              <w:pStyle w:val="Compact"/>
              <w:jc w:val="left"/>
            </w:pPr>
            <w:r>
              <w:t xml:space="preserve">Marion</w:t>
            </w:r>
          </w:p>
        </w:tc>
        <w:tc>
          <w:p>
            <w:pPr>
              <w:pStyle w:val="Compact"/>
              <w:jc w:val="right"/>
            </w:pPr>
            <w:r>
              <w:t xml:space="preserve">0.014</w:t>
            </w:r>
          </w:p>
        </w:tc>
      </w:tr>
      <w:tr>
        <w:tc>
          <w:p>
            <w:pPr>
              <w:pStyle w:val="Compact"/>
              <w:jc w:val="left"/>
            </w:pPr>
            <w:r>
              <w:t xml:space="preserve">Brevard</w:t>
            </w:r>
          </w:p>
        </w:tc>
        <w:tc>
          <w:p>
            <w:pPr>
              <w:pStyle w:val="Compact"/>
              <w:jc w:val="right"/>
            </w:pPr>
            <w:r>
              <w:t xml:space="preserve">0.023</w:t>
            </w:r>
          </w:p>
        </w:tc>
        <w:tc>
          <w:p>
            <w:pPr>
              <w:pStyle w:val="Compact"/>
              <w:jc w:val="left"/>
            </w:pPr>
            <w:r>
              <w:t xml:space="preserve">Seminole</w:t>
            </w:r>
          </w:p>
        </w:tc>
        <w:tc>
          <w:p>
            <w:pPr>
              <w:pStyle w:val="Compact"/>
              <w:jc w:val="right"/>
            </w:pPr>
            <w:r>
              <w:t xml:space="preserve">0.017</w:t>
            </w:r>
          </w:p>
        </w:tc>
        <w:tc>
          <w:p>
            <w:pPr>
              <w:pStyle w:val="Compact"/>
              <w:jc w:val="left"/>
            </w:pPr>
            <w:r>
              <w:t xml:space="preserve">Pasco</w:t>
            </w:r>
          </w:p>
        </w:tc>
        <w:tc>
          <w:p>
            <w:pPr>
              <w:pStyle w:val="Compact"/>
              <w:jc w:val="right"/>
            </w:pPr>
            <w:r>
              <w:t xml:space="preserve">0.014</w:t>
            </w:r>
          </w:p>
        </w:tc>
      </w:tr>
      <w:tr>
        <w:tc>
          <w:p>
            <w:pPr>
              <w:pStyle w:val="Compact"/>
              <w:jc w:val="left"/>
            </w:pPr>
            <w:r>
              <w:t xml:space="preserve">Palm Beach</w:t>
            </w:r>
          </w:p>
        </w:tc>
        <w:tc>
          <w:p>
            <w:pPr>
              <w:pStyle w:val="Compact"/>
              <w:jc w:val="right"/>
            </w:pPr>
            <w:r>
              <w:t xml:space="preserve">0.023</w:t>
            </w:r>
          </w:p>
        </w:tc>
        <w:tc>
          <w:p>
            <w:pPr>
              <w:pStyle w:val="Compact"/>
              <w:jc w:val="left"/>
            </w:pPr>
            <w:r>
              <w:t xml:space="preserve">Osceola</w:t>
            </w:r>
          </w:p>
        </w:tc>
        <w:tc>
          <w:p>
            <w:pPr>
              <w:pStyle w:val="Compact"/>
              <w:jc w:val="right"/>
            </w:pPr>
            <w:r>
              <w:t xml:space="preserve">0.014</w:t>
            </w:r>
          </w:p>
        </w:tc>
        <w:tc>
          <w:p>
            <w:pPr>
              <w:pStyle w:val="Compact"/>
              <w:jc w:val="left"/>
            </w:pPr>
            <w:r>
              <w:t xml:space="preserve">Seminole</w:t>
            </w:r>
          </w:p>
        </w:tc>
        <w:tc>
          <w:p>
            <w:pPr>
              <w:pStyle w:val="Compact"/>
              <w:jc w:val="right"/>
            </w:pPr>
            <w:r>
              <w:t xml:space="preserve">0.011</w:t>
            </w:r>
          </w:p>
        </w:tc>
      </w:tr>
    </w:tbl>
    <w:p>
      <w:pPr>
        <w:pStyle w:val="BodyText"/>
      </w:pPr>
      <w:r>
        <w:rPr>
          <w:b/>
        </w:rPr>
        <w:t xml:space="preserve">Table 2. County origins of Florida residents making for-hire trips to the Tampa Bay region and Manatee County, for 2011-2021.</w:t>
      </w:r>
      <w:r>
        <w:br w:type="textWrapping"/>
      </w:r>
      <w:r>
        <w:t xml:space="preserve">This table compares which counties Florida resident angler clients come from when they make for-hire trips to the Tampa Bay region (Pinellas, Hillsborough, Manatee, and Sarasota counties) or specifically Manatee County.</w:t>
      </w:r>
    </w:p>
    <w:p>
      <w:pPr>
        <w:pStyle w:val="Compact"/>
        <w:numPr>
          <w:numId w:val="1008"/>
          <w:ilvl w:val="0"/>
        </w:numPr>
      </w:pPr>
      <w:r>
        <w:t xml:space="preserve">Columns 1 &amp; 2 show origins of Florida resident angler clients fishing the Tampa Bay region who live outside of the Tampa Bay region.</w:t>
      </w:r>
    </w:p>
    <w:p>
      <w:pPr>
        <w:pStyle w:val="Compact"/>
        <w:numPr>
          <w:numId w:val="1008"/>
          <w:ilvl w:val="0"/>
        </w:numPr>
      </w:pPr>
      <w:r>
        <w:t xml:space="preserve">Columns 3 &amp; 4 show origins of Florida resident angler clients fishing Manatee County but living outside of Manatee County.</w:t>
      </w:r>
    </w:p>
    <w:p>
      <w:pPr>
        <w:pStyle w:val="Compact"/>
        <w:numPr>
          <w:numId w:val="1008"/>
          <w:ilvl w:val="0"/>
        </w:numPr>
      </w:pPr>
      <w:r>
        <w:t xml:space="preserve">Columns 5 &amp; 6 show origins of Florida resident angler clients fishing Manatee County, regardless of where in Florida they live.</w:t>
      </w:r>
    </w:p>
    <w:p>
      <w:pPr>
        <w:pStyle w:val="FirstParagraph"/>
      </w:pPr>
      <w:r>
        <w:t xml:space="preserve">This comparison allows understanding (</w:t>
      </w:r>
      <w:r>
        <w:rPr>
          <w:i/>
        </w:rPr>
        <w:t xml:space="preserve">i</w:t>
      </w:r>
      <w:r>
        <w:t xml:space="preserve">) where Florida resident angler who make for-hire fishing trips to the Tampa Bay region and Manatee County come from, and (</w:t>
      </w:r>
      <w:r>
        <w:rPr>
          <w:i/>
        </w:rPr>
        <w:t xml:space="preserve">ii</w:t>
      </w:r>
      <w:r>
        <w:t xml:space="preserve">) the Florida counties from which the greatest proportion of out-of-county for-hire trips come from.</w:t>
      </w:r>
    </w:p>
    <w:p>
      <w:r>
        <w:br w:type="page"/>
      </w:r>
    </w:p>
    <w:p>
      <w:pPr>
        <w:pStyle w:val="Heading3"/>
      </w:pPr>
      <w:bookmarkStart w:id="33" w:name="fishing-trip-origin-results-maps"/>
      <w:r>
        <w:t xml:space="preserve">Fishing Trip Origin Results: Maps</w:t>
      </w:r>
      <w:bookmarkEnd w:id="33"/>
    </w:p>
    <w:p>
      <w:pPr>
        <w:pStyle w:val="FirstParagraph"/>
      </w:pPr>
      <w:r>
        <w:t xml:space="preserve">We provide several maps to graphically illustrate where sampled for-hire angler clients come from when they fish the Tampa Bay region and Manatee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Tampa Bay region.</w:t>
      </w:r>
      <w:r>
        <w:br w:type="textWrapping"/>
      </w:r>
      <w:r>
        <w:rPr>
          <w:b/>
        </w:rPr>
        <w:t xml:space="preserve">Figure 1</w:t>
      </w:r>
      <w:r>
        <w:t xml:space="preserve"> </w:t>
      </w:r>
      <w:r>
        <w:t xml:space="preserve">maps trips to Manatee County regardless of species targeted.</w:t>
      </w:r>
      <w:r>
        <w:br w:type="textWrapping"/>
      </w:r>
      <w:r>
        <w:rPr>
          <w:b/>
        </w:rPr>
        <w:t xml:space="preserve">Figure 2</w:t>
      </w:r>
      <w:r>
        <w:t xml:space="preserve"> </w:t>
      </w:r>
      <w:r>
        <w:t xml:space="preserve">maps trips to the Tampa Bay region when anglers targeted Red grouper.</w:t>
      </w:r>
      <w:r>
        <w:br w:type="textWrapping"/>
      </w:r>
      <w:r>
        <w:rPr>
          <w:b/>
        </w:rPr>
        <w:t xml:space="preserve">Figure 3</w:t>
      </w:r>
      <w:r>
        <w:t xml:space="preserve"> </w:t>
      </w:r>
      <w:r>
        <w:t xml:space="preserve">maps trips to the Tampa Bay region when anglers targeted King mackerel.</w:t>
      </w:r>
      <w:r>
        <w:br w:type="textWrapping"/>
      </w:r>
      <w:r>
        <w:rPr>
          <w:b/>
        </w:rPr>
        <w:t xml:space="preserve">Figure 4</w:t>
      </w:r>
      <w:r>
        <w:t xml:space="preserve"> </w:t>
      </w:r>
      <w:r>
        <w:t xml:space="preserve">maps trips to the Tampa Bay region when anglers targeted Spanish mackerel.</w:t>
      </w:r>
      <w:r>
        <w:br w:type="textWrapping"/>
      </w:r>
      <w:r>
        <w:rPr>
          <w:b/>
        </w:rPr>
        <w:t xml:space="preserve">Figure 5</w:t>
      </w:r>
      <w:r>
        <w:t xml:space="preserve"> </w:t>
      </w:r>
      <w:r>
        <w:t xml:space="preserve">maps trips to the Tampa Bay region when anglers targeted Gag.</w:t>
      </w:r>
      <w:r>
        <w:br w:type="textWrapping"/>
      </w:r>
      <w:r>
        <w:rPr>
          <w:b/>
        </w:rPr>
        <w:t xml:space="preserve">Figure 6</w:t>
      </w:r>
      <w:r>
        <w:t xml:space="preserve"> </w:t>
      </w:r>
      <w:r>
        <w:t xml:space="preserve">maps trips to the Tampa Bay region when anglers targeted Common snook.</w:t>
      </w:r>
    </w:p>
    <w:p>
      <w:pPr>
        <w:pStyle w:val="BodyText"/>
      </w:pPr>
      <w:r>
        <w:t xml:space="preserve">The primary purpose of these figures is to serve as a visual aid to augment the use of the previous tables.</w:t>
      </w:r>
    </w:p>
    <w:p>
      <w:r>
        <w:br w:type="page"/>
      </w:r>
    </w:p>
    <w:p>
      <w:pPr>
        <w:pStyle w:val="Heading4"/>
      </w:pPr>
      <w:bookmarkStart w:id="34" w:name="figure-1."/>
      <w:r>
        <w:t xml:space="preserve">Figure 1.</w:t>
      </w:r>
      <w:bookmarkEnd w:id="34"/>
    </w:p>
    <w:p>
      <w:pPr>
        <w:pStyle w:val="FirstParagraph"/>
      </w:pPr>
      <w:r>
        <w:drawing>
          <wp:inline>
            <wp:extent cx="5334000" cy="4000500"/>
            <wp:effectExtent b="0" l="0" r="0" t="0"/>
            <wp:docPr descr="" title="" id="1" name="Picture"/>
            <a:graphic>
              <a:graphicData uri="http://schemas.openxmlformats.org/drawingml/2006/picture">
                <pic:pic>
                  <pic:nvPicPr>
                    <pic:cNvPr descr="2022_ATT_Manatee_FH_full_files/figure-docx/fig1-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 Map showing where for-hire trips fishing Manatee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6" w:name="figure-2."/>
      <w:r>
        <w:t xml:space="preserve">Figure 2.</w:t>
      </w:r>
      <w:bookmarkEnd w:id="36"/>
    </w:p>
    <w:p>
      <w:pPr>
        <w:pStyle w:val="FirstParagraph"/>
      </w:pPr>
      <w:r>
        <w:drawing>
          <wp:inline>
            <wp:extent cx="5334000" cy="4000500"/>
            <wp:effectExtent b="0" l="0" r="0" t="0"/>
            <wp:docPr descr="" title="" id="1" name="Picture"/>
            <a:graphic>
              <a:graphicData uri="http://schemas.openxmlformats.org/drawingml/2006/picture">
                <pic:pic>
                  <pic:nvPicPr>
                    <pic:cNvPr descr="2022_ATT_Manatee_FH_full_files/figure-docx/fig2-1.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 Map showing where for-hire trips fishing the Tampa Bay region originated in, when targeted Red grouper,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8" w:name="figure-3."/>
      <w:r>
        <w:t xml:space="preserve">Figure 3.</w:t>
      </w:r>
      <w:bookmarkEnd w:id="38"/>
    </w:p>
    <w:p>
      <w:pPr>
        <w:pStyle w:val="FirstParagraph"/>
      </w:pPr>
      <w:r>
        <w:drawing>
          <wp:inline>
            <wp:extent cx="5334000" cy="4000500"/>
            <wp:effectExtent b="0" l="0" r="0" t="0"/>
            <wp:docPr descr="" title="" id="1" name="Picture"/>
            <a:graphic>
              <a:graphicData uri="http://schemas.openxmlformats.org/drawingml/2006/picture">
                <pic:pic>
                  <pic:nvPicPr>
                    <pic:cNvPr descr="2022_ATT_Manatee_FH_full_files/figure-docx/fig3-1.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 Map showing where for-hire trips fishing the Tampa Bay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0" w:name="figure-4."/>
      <w:r>
        <w:t xml:space="preserve">Figure 4.</w:t>
      </w:r>
      <w:bookmarkEnd w:id="40"/>
    </w:p>
    <w:p>
      <w:pPr>
        <w:pStyle w:val="FirstParagraph"/>
      </w:pPr>
      <w:r>
        <w:drawing>
          <wp:inline>
            <wp:extent cx="5334000" cy="4000500"/>
            <wp:effectExtent b="0" l="0" r="0" t="0"/>
            <wp:docPr descr="" title="" id="1" name="Picture"/>
            <a:graphic>
              <a:graphicData uri="http://schemas.openxmlformats.org/drawingml/2006/picture">
                <pic:pic>
                  <pic:nvPicPr>
                    <pic:cNvPr descr="2022_ATT_Manatee_FH_full_files/figure-docx/fig4-1.pn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 Map showing where for-hire trips fishing the Tampa Bay region originated in, when targeted Spanish mackerel,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2" w:name="figure-5."/>
      <w:r>
        <w:t xml:space="preserve">Figure 5.</w:t>
      </w:r>
      <w:bookmarkEnd w:id="42"/>
    </w:p>
    <w:p>
      <w:pPr>
        <w:pStyle w:val="FirstParagraph"/>
      </w:pPr>
      <w:r>
        <w:drawing>
          <wp:inline>
            <wp:extent cx="5334000" cy="4000500"/>
            <wp:effectExtent b="0" l="0" r="0" t="0"/>
            <wp:docPr descr="" title="" id="1" name="Picture"/>
            <a:graphic>
              <a:graphicData uri="http://schemas.openxmlformats.org/drawingml/2006/picture">
                <pic:pic>
                  <pic:nvPicPr>
                    <pic:cNvPr descr="2022_ATT_Manatee_FH_full_files/figure-docx/fig5-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 Map showing where for-hire trips fishing the Tampa Bay region originated in, when targeted Gag,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4" w:name="figure-6."/>
      <w:r>
        <w:t xml:space="preserve">Figure 6.</w:t>
      </w:r>
      <w:bookmarkEnd w:id="44"/>
    </w:p>
    <w:p>
      <w:pPr>
        <w:pStyle w:val="FirstParagraph"/>
      </w:pPr>
      <w:r>
        <w:drawing>
          <wp:inline>
            <wp:extent cx="5334000" cy="4000500"/>
            <wp:effectExtent b="0" l="0" r="0" t="0"/>
            <wp:docPr descr="" title="" id="1" name="Picture"/>
            <a:graphic>
              <a:graphicData uri="http://schemas.openxmlformats.org/drawingml/2006/picture">
                <pic:pic>
                  <pic:nvPicPr>
                    <pic:cNvPr descr="2022_ATT_Manatee_FH_full_files/figure-docx/fig6-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6. Map showing where for-hire trips fishing the Tampa Bay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p>
      <w:pPr>
        <w:pStyle w:val="Heading3"/>
      </w:pPr>
      <w:bookmarkStart w:id="46" w:name="species-targeted-what-do-your-anglers-fish-for"/>
      <w:r>
        <w:t xml:space="preserve">Species targeted: What do your anglers fish for?</w:t>
      </w:r>
      <w:bookmarkEnd w:id="46"/>
    </w:p>
    <w:p>
      <w:pPr>
        <w:pStyle w:val="FirstParagraph"/>
      </w:pPr>
      <w:r>
        <w:rPr>
          <w:i/>
        </w:rPr>
        <w:t xml:space="preserve">Background on data used</w:t>
      </w:r>
      <w:r>
        <w:br w:type="textWrapping"/>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r>
        <w:t xml:space="preserve">.</w:t>
      </w:r>
    </w:p>
    <w:p>
      <w:pPr>
        <w:pStyle w:val="BodyText"/>
      </w:pPr>
      <w:r>
        <w:rPr>
          <w:i/>
        </w:rPr>
        <w:t xml:space="preserve">Species targeted: Background on methods used</w:t>
      </w:r>
      <w:r>
        <w:br w:type="textWrapping"/>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Tampa Bay region that targeted a specific species for each of the last 10 years.</w:t>
      </w:r>
    </w:p>
    <w:p>
      <w:pPr>
        <w:pStyle w:val="BodyText"/>
      </w:pPr>
      <w:r>
        <w:rPr>
          <w:i/>
        </w:rPr>
        <w:t xml:space="preserve">Species targeted: Information provided</w:t>
      </w:r>
      <w:r>
        <w:br w:type="textWrapping"/>
      </w:r>
      <w:r>
        <w:t xml:space="preserve">Two types of information products were developed:</w:t>
      </w:r>
    </w:p>
    <w:p>
      <w:pPr>
        <w:pStyle w:val="Compact"/>
        <w:numPr>
          <w:numId w:val="1009"/>
          <w:ilvl w:val="0"/>
        </w:numPr>
      </w:pPr>
      <w:r>
        <w:t xml:space="preserve">Tables describing the proportions of for-hire trips targeting different fish species at various combinations of fishing locations and residences.</w:t>
      </w:r>
    </w:p>
    <w:p>
      <w:pPr>
        <w:pStyle w:val="Compact"/>
        <w:numPr>
          <w:numId w:val="1009"/>
          <w:ilvl w:val="0"/>
        </w:numPr>
      </w:pPr>
      <w:r>
        <w:t xml:space="preserve">Figures showing the time series of proportion of for-hire trips taken in the Tampa Bay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Manatee County.</w:t>
      </w:r>
    </w:p>
    <w:p>
      <w:r>
        <w:br w:type="page"/>
      </w:r>
    </w:p>
    <w:p>
      <w:pPr>
        <w:pStyle w:val="Heading3"/>
      </w:pPr>
      <w:bookmarkStart w:id="47" w:name="species-targeted-results-tables"/>
      <w:r>
        <w:t xml:space="preserve">Species Targeted Results: Tables</w:t>
      </w:r>
      <w:bookmarkEnd w:id="47"/>
    </w:p>
    <w:p>
      <w:pPr>
        <w:pStyle w:val="FirstParagraph"/>
      </w:pPr>
      <w:r>
        <w:t xml:space="preserve">Tables describing the proportions of trips targeting different fish species at various combinations of fishing locations and residences, including:</w:t>
      </w:r>
    </w:p>
    <w:p>
      <w:pPr>
        <w:pStyle w:val="Compact"/>
        <w:numPr>
          <w:numId w:val="1010"/>
          <w:ilvl w:val="0"/>
        </w:numPr>
      </w:pPr>
      <w:r>
        <w:t xml:space="preserve">For-hire trips in all of Florida, regardless of origin.</w:t>
      </w:r>
    </w:p>
    <w:p>
      <w:pPr>
        <w:pStyle w:val="Compact"/>
        <w:numPr>
          <w:numId w:val="1010"/>
          <w:ilvl w:val="0"/>
        </w:numPr>
      </w:pPr>
      <w:r>
        <w:t xml:space="preserve">For-hire trips in Florida’s 7 coast, regardless of origin.</w:t>
      </w:r>
    </w:p>
    <w:p>
      <w:pPr>
        <w:pStyle w:val="Compact"/>
        <w:numPr>
          <w:numId w:val="1010"/>
          <w:ilvl w:val="0"/>
        </w:numPr>
      </w:pPr>
      <w:r>
        <w:t xml:space="preserve">For-hire trips in the Tampa Bay region, regardless of origin.</w:t>
      </w:r>
    </w:p>
    <w:p>
      <w:pPr>
        <w:pStyle w:val="Compact"/>
        <w:numPr>
          <w:numId w:val="1010"/>
          <w:ilvl w:val="0"/>
        </w:numPr>
      </w:pPr>
      <w:r>
        <w:t xml:space="preserve">For-hire trips taken in Manatee County, regardless of origin.</w:t>
      </w:r>
    </w:p>
    <w:p>
      <w:pPr>
        <w:pStyle w:val="Compact"/>
        <w:numPr>
          <w:numId w:val="1010"/>
          <w:ilvl w:val="0"/>
        </w:numPr>
      </w:pPr>
      <w:r>
        <w:t xml:space="preserve">For-hire trips taken in Manatee County by Manatee County residents.</w:t>
      </w:r>
    </w:p>
    <w:p>
      <w:pPr>
        <w:pStyle w:val="Compact"/>
        <w:numPr>
          <w:numId w:val="1010"/>
          <w:ilvl w:val="0"/>
        </w:numPr>
      </w:pPr>
      <w:r>
        <w:t xml:space="preserve">For-hire trips taken in Manatee County by non-residents of Manatee County.</w:t>
      </w:r>
    </w:p>
    <w:p>
      <w:pPr>
        <w:pStyle w:val="Compact"/>
        <w:numPr>
          <w:numId w:val="1010"/>
          <w:ilvl w:val="0"/>
        </w:numPr>
      </w:pPr>
      <w:r>
        <w:t xml:space="preserve">For-hire trips taken in Manatee County by out-of-state anglers.</w:t>
      </w:r>
    </w:p>
    <w:p>
      <w:pPr>
        <w:pStyle w:val="FirstParagraph"/>
      </w:pPr>
      <w:r>
        <w:t xml:space="preserve">These results are summarized in two separate tables that promote comparison of Manatee County to surrounding areas. All results represent data pooled over the last 10 years (2011-2021).</w:t>
      </w:r>
    </w:p>
    <w:p>
      <w:pPr>
        <w:pStyle w:val="BodyText"/>
      </w:pPr>
      <w:r>
        <w:t xml:space="preserve">We anticipate these tables may be useful in several ways, including:</w:t>
      </w:r>
    </w:p>
    <w:p>
      <w:pPr>
        <w:pStyle w:val="Compact"/>
        <w:numPr>
          <w:numId w:val="1011"/>
          <w:ilvl w:val="0"/>
        </w:numPr>
      </w:pPr>
      <w:r>
        <w:t xml:space="preserve">Understanding what species angler clients are targeting when they make for-hire trips in Manatee County, which may help inform advertising or business decisions by local for-hire captains.</w:t>
      </w:r>
    </w:p>
    <w:p>
      <w:pPr>
        <w:pStyle w:val="Compact"/>
        <w:numPr>
          <w:numId w:val="1011"/>
          <w:ilvl w:val="0"/>
        </w:numPr>
      </w:pPr>
      <w:r>
        <w:t xml:space="preserve">Understanding what species visiting (non Manatee-County residents) angler clients target, which may inform the media outlets and visuals (e.g., fish photos) of future advertisements or information produced by the Manatee County Tourism Development Council in support of the for-hire fishing sector.</w:t>
      </w:r>
    </w:p>
    <w:p>
      <w:r>
        <w:br w:type="page"/>
      </w:r>
    </w:p>
    <w:p>
      <w:pPr>
        <w:pStyle w:val="Heading4"/>
      </w:pPr>
      <w:bookmarkStart w:id="48" w:name="table-3"/>
      <w:r>
        <w:t xml:space="preserve">Table 3</w:t>
      </w:r>
      <w:bookmarkEnd w:id="48"/>
    </w:p>
    <w:p>
      <w:pPr>
        <w:pStyle w:val="TableCaption"/>
      </w:pPr>
      <w:r>
        <w:t xml:space="preserve">Proportion of species targeted in for-hire trips, comparing county to state</w:t>
      </w:r>
    </w:p>
    <w:tbl>
      <w:tblPr>
        <w:tblStyle w:val="Table"/>
        <w:tblW w:type="pct" w:w="4999.999999999999"/>
        <w:tblLook w:firstRow="1"/>
        <w:tblCaption w:val="Proportion of species targeted in for-hire trips, comparing county to state"/>
      </w:tblPr>
      <w:tblGrid>
        <w:gridCol w:w="1463"/>
        <w:gridCol w:w="516"/>
        <w:gridCol w:w="1463"/>
        <w:gridCol w:w="516"/>
        <w:gridCol w:w="1463"/>
        <w:gridCol w:w="516"/>
        <w:gridCol w:w="1463"/>
        <w:gridCol w:w="516"/>
      </w:tblGrid>
      <w:tr>
        <w:trPr>
          <w:cnfStyle w:firstRow="1"/>
        </w:trPr>
        <w:tc>
          <w:tcPr>
            <w:tcBorders>
              <w:bottom w:val="single"/>
            </w:tcBorders>
            <w:vAlign w:val="bottom"/>
          </w:tcPr>
          <w:p>
            <w:pPr>
              <w:pStyle w:val="Compact"/>
              <w:jc w:val="left"/>
            </w:pPr>
            <w:r>
              <w:t xml:space="preserve">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FL 7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Tampa Bay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Manatee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0.545</w:t>
            </w:r>
          </w:p>
        </w:tc>
        <w:tc>
          <w:p>
            <w:pPr>
              <w:pStyle w:val="Compact"/>
              <w:jc w:val="left"/>
            </w:pPr>
            <w:r>
              <w:t xml:space="preserve">No Target</w:t>
            </w:r>
          </w:p>
        </w:tc>
        <w:tc>
          <w:p>
            <w:pPr>
              <w:pStyle w:val="Compact"/>
              <w:jc w:val="right"/>
            </w:pPr>
            <w:r>
              <w:t xml:space="preserve">0.506</w:t>
            </w:r>
          </w:p>
        </w:tc>
        <w:tc>
          <w:p>
            <w:pPr>
              <w:pStyle w:val="Compact"/>
              <w:jc w:val="left"/>
            </w:pPr>
            <w:r>
              <w:t xml:space="preserve">No Target</w:t>
            </w:r>
          </w:p>
        </w:tc>
        <w:tc>
          <w:p>
            <w:pPr>
              <w:pStyle w:val="Compact"/>
              <w:jc w:val="right"/>
            </w:pPr>
            <w:r>
              <w:t xml:space="preserve">0.403</w:t>
            </w:r>
          </w:p>
        </w:tc>
        <w:tc>
          <w:p>
            <w:pPr>
              <w:pStyle w:val="Compact"/>
              <w:jc w:val="left"/>
            </w:pPr>
            <w:r>
              <w:t xml:space="preserve">No Target</w:t>
            </w:r>
          </w:p>
        </w:tc>
        <w:tc>
          <w:p>
            <w:pPr>
              <w:pStyle w:val="Compact"/>
              <w:jc w:val="right"/>
            </w:pPr>
            <w:r>
              <w:t xml:space="preserve">0.451</w:t>
            </w:r>
          </w:p>
        </w:tc>
      </w:tr>
      <w:tr>
        <w:tc>
          <w:p>
            <w:pPr>
              <w:pStyle w:val="Compact"/>
              <w:jc w:val="left"/>
            </w:pPr>
            <w:r>
              <w:t xml:space="preserve">Red snapper</w:t>
            </w:r>
          </w:p>
        </w:tc>
        <w:tc>
          <w:p>
            <w:pPr>
              <w:pStyle w:val="Compact"/>
              <w:jc w:val="right"/>
            </w:pPr>
            <w:r>
              <w:t xml:space="preserve">0.048</w:t>
            </w:r>
          </w:p>
        </w:tc>
        <w:tc>
          <w:p>
            <w:pPr>
              <w:pStyle w:val="Compact"/>
              <w:jc w:val="left"/>
            </w:pPr>
            <w:r>
              <w:t xml:space="preserve">Red snapper</w:t>
            </w:r>
          </w:p>
        </w:tc>
        <w:tc>
          <w:p>
            <w:pPr>
              <w:pStyle w:val="Compact"/>
              <w:jc w:val="right"/>
            </w:pPr>
            <w:r>
              <w:t xml:space="preserve">0.058</w:t>
            </w:r>
          </w:p>
        </w:tc>
        <w:tc>
          <w:p>
            <w:pPr>
              <w:pStyle w:val="Compact"/>
              <w:jc w:val="left"/>
            </w:pPr>
            <w:r>
              <w:t xml:space="preserve">Red grouper</w:t>
            </w:r>
          </w:p>
        </w:tc>
        <w:tc>
          <w:p>
            <w:pPr>
              <w:pStyle w:val="Compact"/>
              <w:jc w:val="right"/>
            </w:pPr>
            <w:r>
              <w:t xml:space="preserve">0.127</w:t>
            </w:r>
          </w:p>
        </w:tc>
        <w:tc>
          <w:p>
            <w:pPr>
              <w:pStyle w:val="Compact"/>
              <w:jc w:val="left"/>
            </w:pPr>
            <w:r>
              <w:t xml:space="preserve">Common snook</w:t>
            </w:r>
          </w:p>
        </w:tc>
        <w:tc>
          <w:p>
            <w:pPr>
              <w:pStyle w:val="Compact"/>
              <w:jc w:val="right"/>
            </w:pPr>
            <w:r>
              <w:t xml:space="preserve">0.117</w:t>
            </w:r>
          </w:p>
        </w:tc>
      </w:tr>
      <w:tr>
        <w:tc>
          <w:p>
            <w:pPr>
              <w:pStyle w:val="Compact"/>
              <w:jc w:val="left"/>
            </w:pPr>
            <w:r>
              <w:t xml:space="preserve">King mackerel</w:t>
            </w:r>
          </w:p>
        </w:tc>
        <w:tc>
          <w:p>
            <w:pPr>
              <w:pStyle w:val="Compact"/>
              <w:jc w:val="right"/>
            </w:pPr>
            <w:r>
              <w:t xml:space="preserve">0.045</w:t>
            </w:r>
          </w:p>
        </w:tc>
        <w:tc>
          <w:p>
            <w:pPr>
              <w:pStyle w:val="Compact"/>
              <w:jc w:val="left"/>
            </w:pPr>
            <w:r>
              <w:t xml:space="preserve">Red grouper</w:t>
            </w:r>
          </w:p>
        </w:tc>
        <w:tc>
          <w:p>
            <w:pPr>
              <w:pStyle w:val="Compact"/>
              <w:jc w:val="right"/>
            </w:pPr>
            <w:r>
              <w:t xml:space="preserve">0.048</w:t>
            </w:r>
          </w:p>
        </w:tc>
        <w:tc>
          <w:p>
            <w:pPr>
              <w:pStyle w:val="Compact"/>
              <w:jc w:val="left"/>
            </w:pPr>
            <w:r>
              <w:t xml:space="preserve">King mackerel</w:t>
            </w:r>
          </w:p>
        </w:tc>
        <w:tc>
          <w:p>
            <w:pPr>
              <w:pStyle w:val="Compact"/>
              <w:jc w:val="right"/>
            </w:pPr>
            <w:r>
              <w:t xml:space="preserve">0.099</w:t>
            </w:r>
          </w:p>
        </w:tc>
        <w:tc>
          <w:p>
            <w:pPr>
              <w:pStyle w:val="Compact"/>
              <w:jc w:val="left"/>
            </w:pPr>
            <w:r>
              <w:t xml:space="preserve">Red drum</w:t>
            </w:r>
          </w:p>
        </w:tc>
        <w:tc>
          <w:p>
            <w:pPr>
              <w:pStyle w:val="Compact"/>
              <w:jc w:val="right"/>
            </w:pPr>
            <w:r>
              <w:t xml:space="preserve">0.088</w:t>
            </w:r>
          </w:p>
        </w:tc>
      </w:tr>
      <w:tr>
        <w:tc>
          <w:p>
            <w:pPr>
              <w:pStyle w:val="Compact"/>
              <w:jc w:val="left"/>
            </w:pPr>
            <w:r>
              <w:t xml:space="preserve">Dolphin</w:t>
            </w:r>
          </w:p>
        </w:tc>
        <w:tc>
          <w:p>
            <w:pPr>
              <w:pStyle w:val="Compact"/>
              <w:jc w:val="right"/>
            </w:pPr>
            <w:r>
              <w:t xml:space="preserve">0.038</w:t>
            </w:r>
          </w:p>
        </w:tc>
        <w:tc>
          <w:p>
            <w:pPr>
              <w:pStyle w:val="Compact"/>
              <w:jc w:val="left"/>
            </w:pPr>
            <w:r>
              <w:t xml:space="preserve">King mackerel</w:t>
            </w:r>
          </w:p>
        </w:tc>
        <w:tc>
          <w:p>
            <w:pPr>
              <w:pStyle w:val="Compact"/>
              <w:jc w:val="right"/>
            </w:pPr>
            <w:r>
              <w:t xml:space="preserve">0.045</w:t>
            </w:r>
          </w:p>
        </w:tc>
        <w:tc>
          <w:p>
            <w:pPr>
              <w:pStyle w:val="Compact"/>
              <w:jc w:val="left"/>
            </w:pPr>
            <w:r>
              <w:t xml:space="preserve">Spanish mackerel</w:t>
            </w:r>
          </w:p>
        </w:tc>
        <w:tc>
          <w:p>
            <w:pPr>
              <w:pStyle w:val="Compact"/>
              <w:jc w:val="right"/>
            </w:pPr>
            <w:r>
              <w:t xml:space="preserve">0.080</w:t>
            </w:r>
          </w:p>
        </w:tc>
        <w:tc>
          <w:p>
            <w:pPr>
              <w:pStyle w:val="Compact"/>
              <w:jc w:val="left"/>
            </w:pPr>
            <w:r>
              <w:t xml:space="preserve">Gray snapper</w:t>
            </w:r>
          </w:p>
        </w:tc>
        <w:tc>
          <w:p>
            <w:pPr>
              <w:pStyle w:val="Compact"/>
              <w:jc w:val="right"/>
            </w:pPr>
            <w:r>
              <w:t xml:space="preserve">0.064</w:t>
            </w:r>
          </w:p>
        </w:tc>
      </w:tr>
      <w:tr>
        <w:tc>
          <w:p>
            <w:pPr>
              <w:pStyle w:val="Compact"/>
              <w:jc w:val="left"/>
            </w:pPr>
            <w:r>
              <w:t xml:space="preserve">Red grouper</w:t>
            </w:r>
          </w:p>
        </w:tc>
        <w:tc>
          <w:p>
            <w:pPr>
              <w:pStyle w:val="Compact"/>
              <w:jc w:val="right"/>
            </w:pPr>
            <w:r>
              <w:t xml:space="preserve">0.037</w:t>
            </w:r>
          </w:p>
        </w:tc>
        <w:tc>
          <w:p>
            <w:pPr>
              <w:pStyle w:val="Compact"/>
              <w:jc w:val="left"/>
            </w:pPr>
            <w:r>
              <w:t xml:space="preserve">Dolphin</w:t>
            </w:r>
          </w:p>
        </w:tc>
        <w:tc>
          <w:p>
            <w:pPr>
              <w:pStyle w:val="Compact"/>
              <w:jc w:val="right"/>
            </w:pPr>
            <w:r>
              <w:t xml:space="preserve">0.035</w:t>
            </w:r>
          </w:p>
        </w:tc>
        <w:tc>
          <w:p>
            <w:pPr>
              <w:pStyle w:val="Compact"/>
              <w:jc w:val="left"/>
            </w:pPr>
            <w:r>
              <w:t xml:space="preserve">Gag</w:t>
            </w:r>
          </w:p>
        </w:tc>
        <w:tc>
          <w:p>
            <w:pPr>
              <w:pStyle w:val="Compact"/>
              <w:jc w:val="right"/>
            </w:pPr>
            <w:r>
              <w:t xml:space="preserve">0.047</w:t>
            </w:r>
          </w:p>
        </w:tc>
        <w:tc>
          <w:p>
            <w:pPr>
              <w:pStyle w:val="Compact"/>
              <w:jc w:val="left"/>
            </w:pPr>
            <w:r>
              <w:t xml:space="preserve">Atlantic tarpon</w:t>
            </w:r>
          </w:p>
        </w:tc>
        <w:tc>
          <w:p>
            <w:pPr>
              <w:pStyle w:val="Compact"/>
              <w:jc w:val="right"/>
            </w:pPr>
            <w:r>
              <w:t xml:space="preserve">0.062</w:t>
            </w:r>
          </w:p>
        </w:tc>
      </w:tr>
      <w:tr>
        <w:tc>
          <w:p>
            <w:pPr>
              <w:pStyle w:val="Compact"/>
              <w:jc w:val="left"/>
            </w:pPr>
            <w:r>
              <w:t xml:space="preserve">Red drum</w:t>
            </w:r>
          </w:p>
        </w:tc>
        <w:tc>
          <w:p>
            <w:pPr>
              <w:pStyle w:val="Compact"/>
              <w:jc w:val="right"/>
            </w:pPr>
            <w:r>
              <w:t xml:space="preserve">0.036</w:t>
            </w:r>
          </w:p>
        </w:tc>
        <w:tc>
          <w:p>
            <w:pPr>
              <w:pStyle w:val="Compact"/>
              <w:jc w:val="left"/>
            </w:pPr>
            <w:r>
              <w:t xml:space="preserve">Red drum</w:t>
            </w:r>
          </w:p>
        </w:tc>
        <w:tc>
          <w:p>
            <w:pPr>
              <w:pStyle w:val="Compact"/>
              <w:jc w:val="right"/>
            </w:pPr>
            <w:r>
              <w:t xml:space="preserve">0.035</w:t>
            </w:r>
          </w:p>
        </w:tc>
        <w:tc>
          <w:p>
            <w:pPr>
              <w:pStyle w:val="Compact"/>
              <w:jc w:val="left"/>
            </w:pPr>
            <w:r>
              <w:t xml:space="preserve">Common snook</w:t>
            </w:r>
          </w:p>
        </w:tc>
        <w:tc>
          <w:p>
            <w:pPr>
              <w:pStyle w:val="Compact"/>
              <w:jc w:val="right"/>
            </w:pPr>
            <w:r>
              <w:t xml:space="preserve">0.039</w:t>
            </w:r>
          </w:p>
        </w:tc>
        <w:tc>
          <w:p>
            <w:pPr>
              <w:pStyle w:val="Compact"/>
              <w:jc w:val="left"/>
            </w:pPr>
            <w:r>
              <w:t xml:space="preserve">Spotted seatrout</w:t>
            </w:r>
          </w:p>
        </w:tc>
        <w:tc>
          <w:p>
            <w:pPr>
              <w:pStyle w:val="Compact"/>
              <w:jc w:val="right"/>
            </w:pPr>
            <w:r>
              <w:t xml:space="preserve">0.061</w:t>
            </w:r>
          </w:p>
        </w:tc>
      </w:tr>
      <w:tr>
        <w:tc>
          <w:p>
            <w:pPr>
              <w:pStyle w:val="Compact"/>
              <w:jc w:val="left"/>
            </w:pPr>
            <w:r>
              <w:t xml:space="preserve">Spotted seatrout</w:t>
            </w:r>
          </w:p>
        </w:tc>
        <w:tc>
          <w:p>
            <w:pPr>
              <w:pStyle w:val="Compact"/>
              <w:jc w:val="right"/>
            </w:pPr>
            <w:r>
              <w:t xml:space="preserve">0.025</w:t>
            </w:r>
          </w:p>
        </w:tc>
        <w:tc>
          <w:p>
            <w:pPr>
              <w:pStyle w:val="Compact"/>
              <w:jc w:val="left"/>
            </w:pPr>
            <w:r>
              <w:t xml:space="preserve">Spanish mackerel</w:t>
            </w:r>
          </w:p>
        </w:tc>
        <w:tc>
          <w:p>
            <w:pPr>
              <w:pStyle w:val="Compact"/>
              <w:jc w:val="right"/>
            </w:pPr>
            <w:r>
              <w:t xml:space="preserve">0.030</w:t>
            </w:r>
          </w:p>
        </w:tc>
        <w:tc>
          <w:p>
            <w:pPr>
              <w:pStyle w:val="Compact"/>
              <w:jc w:val="left"/>
            </w:pPr>
            <w:r>
              <w:t xml:space="preserve">Red drum</w:t>
            </w:r>
          </w:p>
        </w:tc>
        <w:tc>
          <w:p>
            <w:pPr>
              <w:pStyle w:val="Compact"/>
              <w:jc w:val="right"/>
            </w:pPr>
            <w:r>
              <w:t xml:space="preserve">0.033</w:t>
            </w:r>
          </w:p>
        </w:tc>
        <w:tc>
          <w:p>
            <w:pPr>
              <w:pStyle w:val="Compact"/>
              <w:jc w:val="left"/>
            </w:pPr>
            <w:r>
              <w:t xml:space="preserve">Gag</w:t>
            </w:r>
          </w:p>
        </w:tc>
        <w:tc>
          <w:p>
            <w:pPr>
              <w:pStyle w:val="Compact"/>
              <w:jc w:val="right"/>
            </w:pPr>
            <w:r>
              <w:t xml:space="preserve">0.032</w:t>
            </w:r>
          </w:p>
        </w:tc>
      </w:tr>
      <w:tr>
        <w:tc>
          <w:p>
            <w:pPr>
              <w:pStyle w:val="Compact"/>
              <w:jc w:val="left"/>
            </w:pPr>
            <w:r>
              <w:t xml:space="preserve">Spanish mackerel</w:t>
            </w:r>
          </w:p>
        </w:tc>
        <w:tc>
          <w:p>
            <w:pPr>
              <w:pStyle w:val="Compact"/>
              <w:jc w:val="right"/>
            </w:pPr>
            <w:r>
              <w:t xml:space="preserve">0.024</w:t>
            </w:r>
          </w:p>
        </w:tc>
        <w:tc>
          <w:p>
            <w:pPr>
              <w:pStyle w:val="Compact"/>
              <w:jc w:val="left"/>
            </w:pPr>
            <w:r>
              <w:t xml:space="preserve">Spotted seatrout</w:t>
            </w:r>
          </w:p>
        </w:tc>
        <w:tc>
          <w:p>
            <w:pPr>
              <w:pStyle w:val="Compact"/>
              <w:jc w:val="right"/>
            </w:pPr>
            <w:r>
              <w:t xml:space="preserve">0.030</w:t>
            </w:r>
          </w:p>
        </w:tc>
        <w:tc>
          <w:p>
            <w:pPr>
              <w:pStyle w:val="Compact"/>
              <w:jc w:val="left"/>
            </w:pPr>
            <w:r>
              <w:t xml:space="preserve">Spotted seatrout</w:t>
            </w:r>
          </w:p>
        </w:tc>
        <w:tc>
          <w:p>
            <w:pPr>
              <w:pStyle w:val="Compact"/>
              <w:jc w:val="right"/>
            </w:pPr>
            <w:r>
              <w:t xml:space="preserve">0.027</w:t>
            </w:r>
          </w:p>
        </w:tc>
        <w:tc>
          <w:p>
            <w:pPr>
              <w:pStyle w:val="Compact"/>
              <w:jc w:val="left"/>
            </w:pPr>
            <w:r>
              <w:t xml:space="preserve">Spanish mackerel</w:t>
            </w:r>
          </w:p>
        </w:tc>
        <w:tc>
          <w:p>
            <w:pPr>
              <w:pStyle w:val="Compact"/>
              <w:jc w:val="right"/>
            </w:pPr>
            <w:r>
              <w:t xml:space="preserve">0.031</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Atlantic tarpon</w:t>
            </w:r>
          </w:p>
        </w:tc>
        <w:tc>
          <w:p>
            <w:pPr>
              <w:pStyle w:val="Compact"/>
              <w:jc w:val="right"/>
            </w:pPr>
            <w:r>
              <w:t xml:space="preserve">0.026</w:t>
            </w:r>
          </w:p>
        </w:tc>
        <w:tc>
          <w:p>
            <w:pPr>
              <w:pStyle w:val="Compact"/>
              <w:jc w:val="left"/>
            </w:pPr>
            <w:r>
              <w:t xml:space="preserve">White grunt</w:t>
            </w:r>
          </w:p>
        </w:tc>
        <w:tc>
          <w:p>
            <w:pPr>
              <w:pStyle w:val="Compact"/>
              <w:jc w:val="right"/>
            </w:pPr>
            <w:r>
              <w:t xml:space="preserve">0.026</w:t>
            </w:r>
          </w:p>
        </w:tc>
        <w:tc>
          <w:p>
            <w:pPr>
              <w:pStyle w:val="Compact"/>
              <w:jc w:val="left"/>
            </w:pPr>
            <w:r>
              <w:t xml:space="preserve">Red grouper</w:t>
            </w:r>
          </w:p>
        </w:tc>
        <w:tc>
          <w:p>
            <w:pPr>
              <w:pStyle w:val="Compact"/>
              <w:jc w:val="right"/>
            </w:pPr>
            <w:r>
              <w:t xml:space="preserve">0.028</w:t>
            </w:r>
          </w:p>
        </w:tc>
      </w:tr>
      <w:tr>
        <w:tc>
          <w:p>
            <w:pPr>
              <w:pStyle w:val="Compact"/>
              <w:jc w:val="left"/>
            </w:pPr>
            <w:r>
              <w:t xml:space="preserve">Gag</w:t>
            </w:r>
          </w:p>
        </w:tc>
        <w:tc>
          <w:p>
            <w:pPr>
              <w:pStyle w:val="Compact"/>
              <w:jc w:val="right"/>
            </w:pPr>
            <w:r>
              <w:t xml:space="preserve">0.018</w:t>
            </w:r>
          </w:p>
        </w:tc>
        <w:tc>
          <w:p>
            <w:pPr>
              <w:pStyle w:val="Compact"/>
              <w:jc w:val="left"/>
            </w:pPr>
            <w:r>
              <w:t xml:space="preserve">Gag</w:t>
            </w:r>
          </w:p>
        </w:tc>
        <w:tc>
          <w:p>
            <w:pPr>
              <w:pStyle w:val="Compact"/>
              <w:jc w:val="right"/>
            </w:pPr>
            <w:r>
              <w:t xml:space="preserve">0.023</w:t>
            </w:r>
          </w:p>
        </w:tc>
        <w:tc>
          <w:p>
            <w:pPr>
              <w:pStyle w:val="Compact"/>
              <w:jc w:val="left"/>
            </w:pPr>
            <w:r>
              <w:t xml:space="preserve">Gray snapper</w:t>
            </w:r>
          </w:p>
        </w:tc>
        <w:tc>
          <w:p>
            <w:pPr>
              <w:pStyle w:val="Compact"/>
              <w:jc w:val="right"/>
            </w:pPr>
            <w:r>
              <w:t xml:space="preserve">0.019</w:t>
            </w:r>
          </w:p>
        </w:tc>
        <w:tc>
          <w:p>
            <w:pPr>
              <w:pStyle w:val="Compact"/>
              <w:jc w:val="left"/>
            </w:pPr>
            <w:r>
              <w:t xml:space="preserve">King mackerel</w:t>
            </w:r>
          </w:p>
        </w:tc>
        <w:tc>
          <w:p>
            <w:pPr>
              <w:pStyle w:val="Compact"/>
              <w:jc w:val="right"/>
            </w:pPr>
            <w:r>
              <w:t xml:space="preserve">0.022</w:t>
            </w:r>
          </w:p>
        </w:tc>
      </w:tr>
    </w:tbl>
    <w:p>
      <w:pPr>
        <w:pStyle w:val="BodyText"/>
      </w:pPr>
      <w:r>
        <w:rPr>
          <w:b/>
        </w:rPr>
        <w:t xml:space="preserve">Table 3. Comparison of species targeted in for-hire trips to Manatee County to other regions of Florida, for 2011-2021.</w:t>
      </w:r>
    </w:p>
    <w:p>
      <w:pPr>
        <w:pStyle w:val="Compact"/>
        <w:numPr>
          <w:numId w:val="1012"/>
          <w:ilvl w:val="0"/>
        </w:numPr>
      </w:pPr>
      <w:r>
        <w:t xml:space="preserve">Columns 1 &amp; 2 show species targeted by for-hire trips made throughout Florida.</w:t>
      </w:r>
    </w:p>
    <w:p>
      <w:pPr>
        <w:pStyle w:val="Compact"/>
        <w:numPr>
          <w:numId w:val="1012"/>
          <w:ilvl w:val="0"/>
        </w:numPr>
      </w:pPr>
      <w:r>
        <w:t xml:space="preserve">Columns 3 &amp; 4 show species targeted by for-hire trips made to the 7 coast of Florida.</w:t>
      </w:r>
    </w:p>
    <w:p>
      <w:pPr>
        <w:pStyle w:val="Compact"/>
        <w:numPr>
          <w:numId w:val="1012"/>
          <w:ilvl w:val="0"/>
        </w:numPr>
      </w:pPr>
      <w:r>
        <w:t xml:space="preserve">Columns 5 &amp; 6 show species targeted by for-hire trips made in the Tampa Bay region.</w:t>
      </w:r>
    </w:p>
    <w:p>
      <w:pPr>
        <w:pStyle w:val="Compact"/>
        <w:numPr>
          <w:numId w:val="1012"/>
          <w:ilvl w:val="0"/>
        </w:numPr>
      </w:pPr>
      <w:r>
        <w:t xml:space="preserve">Columns 7 &amp; 8 show species targeted by for-hire trips made in Manatee County.</w:t>
      </w:r>
    </w:p>
    <w:p>
      <w:r>
        <w:br w:type="page"/>
      </w:r>
    </w:p>
    <w:p>
      <w:pPr>
        <w:pStyle w:val="Heading4"/>
      </w:pPr>
      <w:bookmarkStart w:id="49" w:name="table-4"/>
      <w:r>
        <w:t xml:space="preserve">Table 4</w:t>
      </w:r>
      <w:bookmarkEnd w:id="49"/>
    </w:p>
    <w:p>
      <w:pPr>
        <w:pStyle w:val="TableCaption"/>
      </w:pPr>
      <w:r>
        <w:t xml:space="preserve">Proportion of species targeted in for-hire trips, comparing county to state</w:t>
      </w:r>
    </w:p>
    <w:tbl>
      <w:tblPr>
        <w:tblStyle w:val="Table"/>
        <w:tblW w:type="pct" w:w="4999.999999999999"/>
        <w:tblLook w:firstRow="1"/>
        <w:tblCaption w:val="Proportion of species targeted in for-hire trips, comparing county to state"/>
      </w:tblPr>
      <w:tblGrid>
        <w:gridCol w:w="1454"/>
        <w:gridCol w:w="484"/>
        <w:gridCol w:w="1373"/>
        <w:gridCol w:w="484"/>
        <w:gridCol w:w="1616"/>
        <w:gridCol w:w="484"/>
        <w:gridCol w:w="1535"/>
        <w:gridCol w:w="484"/>
      </w:tblGrid>
      <w:tr>
        <w:trPr>
          <w:cnfStyle w:firstRow="1"/>
        </w:trPr>
        <w:tc>
          <w:tcPr>
            <w:tcBorders>
              <w:bottom w:val="single"/>
            </w:tcBorders>
            <w:vAlign w:val="bottom"/>
          </w:tcPr>
          <w:p>
            <w:pPr>
              <w:pStyle w:val="Compact"/>
              <w:jc w:val="left"/>
            </w:pPr>
            <w:r>
              <w:t xml:space="preserve">All Manatee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In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state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0.451</w:t>
            </w:r>
          </w:p>
        </w:tc>
        <w:tc>
          <w:p>
            <w:pPr>
              <w:pStyle w:val="Compact"/>
              <w:jc w:val="left"/>
            </w:pPr>
            <w:r>
              <w:t xml:space="preserve">No Target</w:t>
            </w:r>
          </w:p>
        </w:tc>
        <w:tc>
          <w:p>
            <w:pPr>
              <w:pStyle w:val="Compact"/>
              <w:jc w:val="right"/>
            </w:pPr>
            <w:r>
              <w:t xml:space="preserve">0.340</w:t>
            </w:r>
          </w:p>
        </w:tc>
        <w:tc>
          <w:p>
            <w:pPr>
              <w:pStyle w:val="Compact"/>
              <w:jc w:val="left"/>
            </w:pPr>
            <w:r>
              <w:t xml:space="preserve">No Target</w:t>
            </w:r>
          </w:p>
        </w:tc>
        <w:tc>
          <w:p>
            <w:pPr>
              <w:pStyle w:val="Compact"/>
              <w:jc w:val="right"/>
            </w:pPr>
            <w:r>
              <w:t xml:space="preserve">0.470</w:t>
            </w:r>
          </w:p>
        </w:tc>
        <w:tc>
          <w:p>
            <w:pPr>
              <w:pStyle w:val="Compact"/>
              <w:jc w:val="left"/>
            </w:pPr>
            <w:r>
              <w:t xml:space="preserve">No Target</w:t>
            </w:r>
          </w:p>
        </w:tc>
        <w:tc>
          <w:p>
            <w:pPr>
              <w:pStyle w:val="Compact"/>
              <w:jc w:val="right"/>
            </w:pPr>
            <w:r>
              <w:t xml:space="preserve">0.504</w:t>
            </w:r>
          </w:p>
        </w:tc>
      </w:tr>
      <w:tr>
        <w:tc>
          <w:p>
            <w:pPr>
              <w:pStyle w:val="Compact"/>
              <w:jc w:val="left"/>
            </w:pPr>
            <w:r>
              <w:t xml:space="preserve">Common snook</w:t>
            </w:r>
          </w:p>
        </w:tc>
        <w:tc>
          <w:p>
            <w:pPr>
              <w:pStyle w:val="Compact"/>
              <w:jc w:val="right"/>
            </w:pPr>
            <w:r>
              <w:t xml:space="preserve">0.117</w:t>
            </w:r>
          </w:p>
        </w:tc>
        <w:tc>
          <w:p>
            <w:pPr>
              <w:pStyle w:val="Compact"/>
              <w:jc w:val="left"/>
            </w:pPr>
            <w:r>
              <w:t xml:space="preserve">Spotted seatrout</w:t>
            </w:r>
          </w:p>
        </w:tc>
        <w:tc>
          <w:p>
            <w:pPr>
              <w:pStyle w:val="Compact"/>
              <w:jc w:val="right"/>
            </w:pPr>
            <w:r>
              <w:t xml:space="preserve">0.102</w:t>
            </w:r>
          </w:p>
        </w:tc>
        <w:tc>
          <w:p>
            <w:pPr>
              <w:pStyle w:val="Compact"/>
              <w:jc w:val="left"/>
            </w:pPr>
            <w:r>
              <w:t xml:space="preserve">Common snook</w:t>
            </w:r>
          </w:p>
        </w:tc>
        <w:tc>
          <w:p>
            <w:pPr>
              <w:pStyle w:val="Compact"/>
              <w:jc w:val="right"/>
            </w:pPr>
            <w:r>
              <w:t xml:space="preserve">0.121</w:t>
            </w:r>
          </w:p>
        </w:tc>
        <w:tc>
          <w:p>
            <w:pPr>
              <w:pStyle w:val="Compact"/>
              <w:jc w:val="left"/>
            </w:pPr>
            <w:r>
              <w:t xml:space="preserve">Common snook</w:t>
            </w:r>
          </w:p>
        </w:tc>
        <w:tc>
          <w:p>
            <w:pPr>
              <w:pStyle w:val="Compact"/>
              <w:jc w:val="right"/>
            </w:pPr>
            <w:r>
              <w:t xml:space="preserve">0.127</w:t>
            </w:r>
          </w:p>
        </w:tc>
      </w:tr>
      <w:tr>
        <w:tc>
          <w:p>
            <w:pPr>
              <w:pStyle w:val="Compact"/>
              <w:jc w:val="left"/>
            </w:pPr>
            <w:r>
              <w:t xml:space="preserve">Red drum</w:t>
            </w:r>
          </w:p>
        </w:tc>
        <w:tc>
          <w:p>
            <w:pPr>
              <w:pStyle w:val="Compact"/>
              <w:jc w:val="right"/>
            </w:pPr>
            <w:r>
              <w:t xml:space="preserve">0.088</w:t>
            </w:r>
          </w:p>
        </w:tc>
        <w:tc>
          <w:p>
            <w:pPr>
              <w:pStyle w:val="Compact"/>
              <w:jc w:val="left"/>
            </w:pPr>
            <w:r>
              <w:t xml:space="preserve">Common snook</w:t>
            </w:r>
          </w:p>
        </w:tc>
        <w:tc>
          <w:p>
            <w:pPr>
              <w:pStyle w:val="Compact"/>
              <w:jc w:val="right"/>
            </w:pPr>
            <w:r>
              <w:t xml:space="preserve">0.095</w:t>
            </w:r>
          </w:p>
        </w:tc>
        <w:tc>
          <w:p>
            <w:pPr>
              <w:pStyle w:val="Compact"/>
              <w:jc w:val="left"/>
            </w:pPr>
            <w:r>
              <w:t xml:space="preserve">Red drum</w:t>
            </w:r>
          </w:p>
        </w:tc>
        <w:tc>
          <w:p>
            <w:pPr>
              <w:pStyle w:val="Compact"/>
              <w:jc w:val="right"/>
            </w:pPr>
            <w:r>
              <w:t xml:space="preserve">0.090</w:t>
            </w:r>
          </w:p>
        </w:tc>
        <w:tc>
          <w:p>
            <w:pPr>
              <w:pStyle w:val="Compact"/>
              <w:jc w:val="left"/>
            </w:pPr>
            <w:r>
              <w:t xml:space="preserve">Spotted seatrout</w:t>
            </w:r>
          </w:p>
        </w:tc>
        <w:tc>
          <w:p>
            <w:pPr>
              <w:pStyle w:val="Compact"/>
              <w:jc w:val="right"/>
            </w:pPr>
            <w:r>
              <w:t xml:space="preserve">0.075</w:t>
            </w:r>
          </w:p>
        </w:tc>
      </w:tr>
      <w:tr>
        <w:tc>
          <w:p>
            <w:pPr>
              <w:pStyle w:val="Compact"/>
              <w:jc w:val="left"/>
            </w:pPr>
            <w:r>
              <w:t xml:space="preserve">Gray snapper</w:t>
            </w:r>
          </w:p>
        </w:tc>
        <w:tc>
          <w:p>
            <w:pPr>
              <w:pStyle w:val="Compact"/>
              <w:jc w:val="right"/>
            </w:pPr>
            <w:r>
              <w:t xml:space="preserve">0.064</w:t>
            </w:r>
          </w:p>
        </w:tc>
        <w:tc>
          <w:p>
            <w:pPr>
              <w:pStyle w:val="Compact"/>
              <w:jc w:val="left"/>
            </w:pPr>
            <w:r>
              <w:t xml:space="preserve">Red grouper</w:t>
            </w:r>
          </w:p>
        </w:tc>
        <w:tc>
          <w:p>
            <w:pPr>
              <w:pStyle w:val="Compact"/>
              <w:jc w:val="right"/>
            </w:pPr>
            <w:r>
              <w:t xml:space="preserve">0.095</w:t>
            </w:r>
          </w:p>
        </w:tc>
        <w:tc>
          <w:p>
            <w:pPr>
              <w:pStyle w:val="Compact"/>
              <w:jc w:val="left"/>
            </w:pPr>
            <w:r>
              <w:t xml:space="preserve">Gray snapper</w:t>
            </w:r>
          </w:p>
        </w:tc>
        <w:tc>
          <w:p>
            <w:pPr>
              <w:pStyle w:val="Compact"/>
              <w:jc w:val="right"/>
            </w:pPr>
            <w:r>
              <w:t xml:space="preserve">0.070</w:t>
            </w:r>
          </w:p>
        </w:tc>
        <w:tc>
          <w:p>
            <w:pPr>
              <w:pStyle w:val="Compact"/>
              <w:jc w:val="left"/>
            </w:pPr>
            <w:r>
              <w:t xml:space="preserve">Red drum</w:t>
            </w:r>
          </w:p>
        </w:tc>
        <w:tc>
          <w:p>
            <w:pPr>
              <w:pStyle w:val="Compact"/>
              <w:jc w:val="right"/>
            </w:pPr>
            <w:r>
              <w:t xml:space="preserve">0.071</w:t>
            </w:r>
          </w:p>
        </w:tc>
      </w:tr>
      <w:tr>
        <w:tc>
          <w:p>
            <w:pPr>
              <w:pStyle w:val="Compact"/>
              <w:jc w:val="left"/>
            </w:pPr>
            <w:r>
              <w:t xml:space="preserve">Atlantic tarpon</w:t>
            </w:r>
          </w:p>
        </w:tc>
        <w:tc>
          <w:p>
            <w:pPr>
              <w:pStyle w:val="Compact"/>
              <w:jc w:val="right"/>
            </w:pPr>
            <w:r>
              <w:t xml:space="preserve">0.062</w:t>
            </w:r>
          </w:p>
        </w:tc>
        <w:tc>
          <w:p>
            <w:pPr>
              <w:pStyle w:val="Compact"/>
              <w:jc w:val="left"/>
            </w:pPr>
            <w:r>
              <w:t xml:space="preserve">Red drum</w:t>
            </w:r>
          </w:p>
        </w:tc>
        <w:tc>
          <w:p>
            <w:pPr>
              <w:pStyle w:val="Compact"/>
              <w:jc w:val="right"/>
            </w:pPr>
            <w:r>
              <w:t xml:space="preserve">0.075</w:t>
            </w:r>
          </w:p>
        </w:tc>
        <w:tc>
          <w:p>
            <w:pPr>
              <w:pStyle w:val="Compact"/>
              <w:jc w:val="left"/>
            </w:pPr>
            <w:r>
              <w:t xml:space="preserve">Atlantic tarpon</w:t>
            </w:r>
          </w:p>
        </w:tc>
        <w:tc>
          <w:p>
            <w:pPr>
              <w:pStyle w:val="Compact"/>
              <w:jc w:val="right"/>
            </w:pPr>
            <w:r>
              <w:t xml:space="preserve">0.061</w:t>
            </w:r>
          </w:p>
        </w:tc>
        <w:tc>
          <w:p>
            <w:pPr>
              <w:pStyle w:val="Compact"/>
              <w:jc w:val="left"/>
            </w:pPr>
            <w:r>
              <w:t xml:space="preserve">Atlantic tarpon</w:t>
            </w:r>
          </w:p>
        </w:tc>
        <w:tc>
          <w:p>
            <w:pPr>
              <w:pStyle w:val="Compact"/>
              <w:jc w:val="right"/>
            </w:pPr>
            <w:r>
              <w:t xml:space="preserve">0.063</w:t>
            </w:r>
          </w:p>
        </w:tc>
      </w:tr>
      <w:tr>
        <w:tc>
          <w:p>
            <w:pPr>
              <w:pStyle w:val="Compact"/>
              <w:jc w:val="left"/>
            </w:pPr>
            <w:r>
              <w:t xml:space="preserve">Spotted seatrout</w:t>
            </w:r>
          </w:p>
        </w:tc>
        <w:tc>
          <w:p>
            <w:pPr>
              <w:pStyle w:val="Compact"/>
              <w:jc w:val="right"/>
            </w:pPr>
            <w:r>
              <w:t xml:space="preserve">0.061</w:t>
            </w:r>
          </w:p>
        </w:tc>
        <w:tc>
          <w:p>
            <w:pPr>
              <w:pStyle w:val="Compact"/>
              <w:jc w:val="left"/>
            </w:pPr>
            <w:r>
              <w:t xml:space="preserve">Atlantic tarpon</w:t>
            </w:r>
          </w:p>
        </w:tc>
        <w:tc>
          <w:p>
            <w:pPr>
              <w:pStyle w:val="Compact"/>
              <w:jc w:val="right"/>
            </w:pPr>
            <w:r>
              <w:t xml:space="preserve">0.068</w:t>
            </w:r>
          </w:p>
        </w:tc>
        <w:tc>
          <w:p>
            <w:pPr>
              <w:pStyle w:val="Compact"/>
              <w:jc w:val="left"/>
            </w:pPr>
            <w:r>
              <w:t xml:space="preserve">Spotted seatrout</w:t>
            </w:r>
          </w:p>
        </w:tc>
        <w:tc>
          <w:p>
            <w:pPr>
              <w:pStyle w:val="Compact"/>
              <w:jc w:val="right"/>
            </w:pPr>
            <w:r>
              <w:t xml:space="preserve">0.054</w:t>
            </w:r>
          </w:p>
        </w:tc>
        <w:tc>
          <w:p>
            <w:pPr>
              <w:pStyle w:val="Compact"/>
              <w:jc w:val="left"/>
            </w:pPr>
            <w:r>
              <w:t xml:space="preserve">Gray snapper</w:t>
            </w:r>
          </w:p>
        </w:tc>
        <w:tc>
          <w:p>
            <w:pPr>
              <w:pStyle w:val="Compact"/>
              <w:jc w:val="right"/>
            </w:pPr>
            <w:r>
              <w:t xml:space="preserve">0.052</w:t>
            </w:r>
          </w:p>
        </w:tc>
      </w:tr>
      <w:tr>
        <w:tc>
          <w:p>
            <w:pPr>
              <w:pStyle w:val="Compact"/>
              <w:jc w:val="left"/>
            </w:pPr>
            <w:r>
              <w:t xml:space="preserve">Gag</w:t>
            </w:r>
          </w:p>
        </w:tc>
        <w:tc>
          <w:p>
            <w:pPr>
              <w:pStyle w:val="Compact"/>
              <w:jc w:val="right"/>
            </w:pPr>
            <w:r>
              <w:t xml:space="preserve">0.032</w:t>
            </w:r>
          </w:p>
        </w:tc>
        <w:tc>
          <w:p>
            <w:pPr>
              <w:pStyle w:val="Compact"/>
              <w:jc w:val="left"/>
            </w:pPr>
            <w:r>
              <w:t xml:space="preserve">King mackerel</w:t>
            </w:r>
          </w:p>
        </w:tc>
        <w:tc>
          <w:p>
            <w:pPr>
              <w:pStyle w:val="Compact"/>
              <w:jc w:val="right"/>
            </w:pPr>
            <w:r>
              <w:t xml:space="preserve">0.061</w:t>
            </w:r>
          </w:p>
        </w:tc>
        <w:tc>
          <w:p>
            <w:pPr>
              <w:pStyle w:val="Compact"/>
              <w:jc w:val="left"/>
            </w:pPr>
            <w:r>
              <w:t xml:space="preserve">Gag</w:t>
            </w:r>
          </w:p>
        </w:tc>
        <w:tc>
          <w:p>
            <w:pPr>
              <w:pStyle w:val="Compact"/>
              <w:jc w:val="right"/>
            </w:pPr>
            <w:r>
              <w:t xml:space="preserve">0.032</w:t>
            </w:r>
          </w:p>
        </w:tc>
        <w:tc>
          <w:p>
            <w:pPr>
              <w:pStyle w:val="Compact"/>
              <w:jc w:val="left"/>
            </w:pPr>
            <w:r>
              <w:t xml:space="preserve">Spanish mackerel</w:t>
            </w:r>
          </w:p>
        </w:tc>
        <w:tc>
          <w:p>
            <w:pPr>
              <w:pStyle w:val="Compact"/>
              <w:jc w:val="right"/>
            </w:pPr>
            <w:r>
              <w:t xml:space="preserve">0.042</w:t>
            </w:r>
          </w:p>
        </w:tc>
      </w:tr>
      <w:tr>
        <w:tc>
          <w:p>
            <w:pPr>
              <w:pStyle w:val="Compact"/>
              <w:jc w:val="left"/>
            </w:pPr>
            <w:r>
              <w:t xml:space="preserve">Spanish mackerel</w:t>
            </w:r>
          </w:p>
        </w:tc>
        <w:tc>
          <w:p>
            <w:pPr>
              <w:pStyle w:val="Compact"/>
              <w:jc w:val="right"/>
            </w:pPr>
            <w:r>
              <w:t xml:space="preserve">0.031</w:t>
            </w:r>
          </w:p>
        </w:tc>
        <w:tc>
          <w:p>
            <w:pPr>
              <w:pStyle w:val="Compact"/>
              <w:jc w:val="left"/>
            </w:pPr>
            <w:r>
              <w:t xml:space="preserve">Spanish mackerel</w:t>
            </w:r>
          </w:p>
        </w:tc>
        <w:tc>
          <w:p>
            <w:pPr>
              <w:pStyle w:val="Compact"/>
              <w:jc w:val="right"/>
            </w:pPr>
            <w:r>
              <w:t xml:space="preserve">0.041</w:t>
            </w:r>
          </w:p>
        </w:tc>
        <w:tc>
          <w:p>
            <w:pPr>
              <w:pStyle w:val="Compact"/>
              <w:jc w:val="left"/>
            </w:pPr>
            <w:r>
              <w:t xml:space="preserve">Spanish mackerel</w:t>
            </w:r>
          </w:p>
        </w:tc>
        <w:tc>
          <w:p>
            <w:pPr>
              <w:pStyle w:val="Compact"/>
              <w:jc w:val="right"/>
            </w:pPr>
            <w:r>
              <w:t xml:space="preserve">0.029</w:t>
            </w:r>
          </w:p>
        </w:tc>
        <w:tc>
          <w:p>
            <w:pPr>
              <w:pStyle w:val="Compact"/>
              <w:jc w:val="left"/>
            </w:pPr>
            <w:r>
              <w:t xml:space="preserve">Red grouper</w:t>
            </w:r>
          </w:p>
        </w:tc>
        <w:tc>
          <w:p>
            <w:pPr>
              <w:pStyle w:val="Compact"/>
              <w:jc w:val="right"/>
            </w:pPr>
            <w:r>
              <w:t xml:space="preserve">0.019</w:t>
            </w:r>
          </w:p>
        </w:tc>
      </w:tr>
      <w:tr>
        <w:tc>
          <w:p>
            <w:pPr>
              <w:pStyle w:val="Compact"/>
              <w:jc w:val="left"/>
            </w:pPr>
            <w:r>
              <w:t xml:space="preserve">Red grouper</w:t>
            </w:r>
          </w:p>
        </w:tc>
        <w:tc>
          <w:p>
            <w:pPr>
              <w:pStyle w:val="Compact"/>
              <w:jc w:val="right"/>
            </w:pPr>
            <w:r>
              <w:t xml:space="preserve">0.028</w:t>
            </w:r>
          </w:p>
        </w:tc>
        <w:tc>
          <w:p>
            <w:pPr>
              <w:pStyle w:val="Compact"/>
              <w:jc w:val="left"/>
            </w:pPr>
            <w:r>
              <w:t xml:space="preserve">Gag</w:t>
            </w:r>
          </w:p>
        </w:tc>
        <w:tc>
          <w:p>
            <w:pPr>
              <w:pStyle w:val="Compact"/>
              <w:jc w:val="right"/>
            </w:pPr>
            <w:r>
              <w:t xml:space="preserve">0.027</w:t>
            </w:r>
          </w:p>
        </w:tc>
        <w:tc>
          <w:p>
            <w:pPr>
              <w:pStyle w:val="Compact"/>
              <w:jc w:val="left"/>
            </w:pPr>
            <w:r>
              <w:t xml:space="preserve">Red grouper</w:t>
            </w:r>
          </w:p>
        </w:tc>
        <w:tc>
          <w:p>
            <w:pPr>
              <w:pStyle w:val="Compact"/>
              <w:jc w:val="right"/>
            </w:pPr>
            <w:r>
              <w:t xml:space="preserve">0.016</w:t>
            </w:r>
          </w:p>
        </w:tc>
        <w:tc>
          <w:p>
            <w:pPr>
              <w:pStyle w:val="Compact"/>
              <w:jc w:val="left"/>
            </w:pPr>
            <w:r>
              <w:t xml:space="preserve">Sheepshead</w:t>
            </w:r>
          </w:p>
        </w:tc>
        <w:tc>
          <w:p>
            <w:pPr>
              <w:pStyle w:val="Compact"/>
              <w:jc w:val="right"/>
            </w:pPr>
            <w:r>
              <w:t xml:space="preserve">0.014</w:t>
            </w:r>
          </w:p>
        </w:tc>
      </w:tr>
      <w:tr>
        <w:tc>
          <w:p>
            <w:pPr>
              <w:pStyle w:val="Compact"/>
              <w:jc w:val="left"/>
            </w:pPr>
            <w:r>
              <w:t xml:space="preserve">King mackerel</w:t>
            </w:r>
          </w:p>
        </w:tc>
        <w:tc>
          <w:p>
            <w:pPr>
              <w:pStyle w:val="Compact"/>
              <w:jc w:val="right"/>
            </w:pPr>
            <w:r>
              <w:t xml:space="preserve">0.022</w:t>
            </w:r>
          </w:p>
        </w:tc>
        <w:tc>
          <w:p>
            <w:pPr>
              <w:pStyle w:val="Compact"/>
              <w:jc w:val="left"/>
            </w:pPr>
            <w:r>
              <w:t xml:space="preserve">Gray snapper</w:t>
            </w:r>
          </w:p>
        </w:tc>
        <w:tc>
          <w:p>
            <w:pPr>
              <w:pStyle w:val="Compact"/>
              <w:jc w:val="right"/>
            </w:pPr>
            <w:r>
              <w:t xml:space="preserve">0.027</w:t>
            </w:r>
          </w:p>
        </w:tc>
        <w:tc>
          <w:p>
            <w:pPr>
              <w:pStyle w:val="Compact"/>
              <w:jc w:val="left"/>
            </w:pPr>
            <w:r>
              <w:t xml:space="preserve">Sheepshead</w:t>
            </w:r>
          </w:p>
        </w:tc>
        <w:tc>
          <w:p>
            <w:pPr>
              <w:pStyle w:val="Compact"/>
              <w:jc w:val="right"/>
            </w:pPr>
            <w:r>
              <w:t xml:space="preserve">0.016</w:t>
            </w:r>
          </w:p>
        </w:tc>
        <w:tc>
          <w:p>
            <w:pPr>
              <w:pStyle w:val="Compact"/>
              <w:jc w:val="left"/>
            </w:pPr>
            <w:r>
              <w:t xml:space="preserve">Gag</w:t>
            </w:r>
          </w:p>
        </w:tc>
        <w:tc>
          <w:p>
            <w:pPr>
              <w:pStyle w:val="Compact"/>
              <w:jc w:val="right"/>
            </w:pPr>
            <w:r>
              <w:t xml:space="preserve">0.010</w:t>
            </w:r>
          </w:p>
        </w:tc>
      </w:tr>
    </w:tbl>
    <w:p>
      <w:pPr>
        <w:pStyle w:val="BodyText"/>
      </w:pPr>
      <w:r>
        <w:rPr>
          <w:b/>
        </w:rPr>
        <w:t xml:space="preserve">Table 4. Proportions of species targeted by for-hire fishing trips made in Manatee County by anglers from various origins, for 2011-2021.</w:t>
      </w:r>
    </w:p>
    <w:p>
      <w:pPr>
        <w:pStyle w:val="Compact"/>
        <w:numPr>
          <w:numId w:val="1013"/>
          <w:ilvl w:val="0"/>
        </w:numPr>
      </w:pPr>
      <w:r>
        <w:t xml:space="preserve">Columns 1 &amp; 2 show the species targeted by all for-hire trips made in Manatee County.</w:t>
      </w:r>
    </w:p>
    <w:p>
      <w:pPr>
        <w:pStyle w:val="Compact"/>
        <w:numPr>
          <w:numId w:val="1013"/>
          <w:ilvl w:val="0"/>
        </w:numPr>
      </w:pPr>
      <w:r>
        <w:t xml:space="preserve">Columns 3 &amp; 4 show the species targeted in Manatee County by Manatee residents making for-hire trips.</w:t>
      </w:r>
    </w:p>
    <w:p>
      <w:pPr>
        <w:pStyle w:val="Compact"/>
        <w:numPr>
          <w:numId w:val="1013"/>
          <w:ilvl w:val="0"/>
        </w:numPr>
      </w:pPr>
      <w:r>
        <w:t xml:space="preserve">Columns 5 &amp; 6 show the species targeted in Manatee County by Florida residents not living in Manatee County making for-hire trips.</w:t>
      </w:r>
    </w:p>
    <w:p>
      <w:pPr>
        <w:pStyle w:val="Compact"/>
        <w:numPr>
          <w:numId w:val="1013"/>
          <w:ilvl w:val="0"/>
        </w:numPr>
      </w:pPr>
      <w:r>
        <w:t xml:space="preserve">Columns 7 &amp; 8 shows the species targeted in Manatee County by non-residents of Florida making for-hire trips.</w:t>
      </w:r>
    </w:p>
    <w:p>
      <w:r>
        <w:br w:type="page"/>
      </w:r>
    </w:p>
    <w:p>
      <w:pPr>
        <w:pStyle w:val="Heading3"/>
      </w:pPr>
      <w:bookmarkStart w:id="50" w:name="species-targeted-results-time-series-figures"/>
      <w:r>
        <w:t xml:space="preserve">Species Targeted Results: Time series figures</w:t>
      </w:r>
      <w:bookmarkEnd w:id="50"/>
    </w:p>
    <w:p>
      <w:pPr>
        <w:pStyle w:val="FirstParagraph"/>
      </w:pPr>
      <w:r>
        <w:t xml:space="preserve">We provide time series of the proportion of sampled for-hire trips that targeted each of the top nine species targeted in for-hire trips in the Tampa Bay region. Data are available for each year from 2011-2021, and represent the raw proportions of surveyed trips, which means that no uncertainty estimates (e.g.</w:t>
      </w:r>
      <w:r>
        <w:t xml:space="preserve">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pStyle w:val="Compact"/>
        <w:numPr>
          <w:numId w:val="1014"/>
          <w:ilvl w:val="0"/>
        </w:numPr>
      </w:pPr>
      <w:r>
        <w:t xml:space="preserve">Changes in costs of for-hire fishing (e.g., fuel or other variable costs).</w:t>
      </w:r>
    </w:p>
    <w:p>
      <w:pPr>
        <w:pStyle w:val="Compact"/>
        <w:numPr>
          <w:numId w:val="1014"/>
          <w:ilvl w:val="0"/>
        </w:numPr>
      </w:pPr>
      <w:r>
        <w:t xml:space="preserve">Changes in fishing regulations for specific species.</w:t>
      </w:r>
    </w:p>
    <w:p>
      <w:pPr>
        <w:pStyle w:val="Compact"/>
        <w:numPr>
          <w:numId w:val="1014"/>
          <w:ilvl w:val="0"/>
        </w:numPr>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1" name="Picture"/>
            <a:graphic>
              <a:graphicData uri="http://schemas.openxmlformats.org/drawingml/2006/picture">
                <pic:pic>
                  <pic:nvPicPr>
                    <pic:cNvPr descr="2022_ATT_Manatee_FH_full_files/figure-docx/fig7-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 Time series of the proportion of sampled for-hire trips targeting each of the top 9 fish species targets in the Tampa Bay region, for 2011-2021.</w:t>
      </w:r>
      <w:r>
        <w:br w:type="textWrapping"/>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(2011-2021) shown is provided in parentheses following each species’ name.</w:t>
      </w:r>
    </w:p>
    <w:p>
      <w:r>
        <w:br w:type="page"/>
      </w:r>
    </w:p>
    <w:p>
      <w:pPr>
        <w:pStyle w:val="Heading3"/>
      </w:pPr>
      <w:bookmarkStart w:id="52" w:name="sample-sizes-of-data-for-this-report"/>
      <w:r>
        <w:t xml:space="preserve">Sample Sizes of data for this report</w:t>
      </w:r>
      <w:bookmarkEnd w:id="52"/>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
        </w:rPr>
        <w:t xml:space="preserve">surveyed</w:t>
      </w:r>
      <w:r>
        <w:t xml:space="preserve">, not the total number of trips taken.</w:t>
      </w:r>
    </w:p>
    <w:p>
      <w:pPr>
        <w:pStyle w:val="Heading4"/>
      </w:pPr>
      <w:bookmarkStart w:id="53" w:name="table-5"/>
      <w:r>
        <w:t xml:space="preserve">Table 5</w:t>
      </w:r>
      <w:bookmarkEnd w:id="53"/>
    </w:p>
    <w:p>
      <w:pPr>
        <w:pStyle w:val="TableCaption"/>
      </w:pPr>
      <w:r>
        <w:t xml:space="preserve">Proportion of species targeted in for-hire trips, comparing county to state</w:t>
      </w:r>
    </w:p>
    <w:tbl>
      <w:tblPr>
        <w:tblStyle w:val="Table"/>
        <w:tblW w:type="pct" w:w="0.0"/>
        <w:tblLook w:firstRow="1"/>
        <w:tblCaption w:val="Proportion of species targeted in for-hire trips, comparing county to state"/>
      </w:tblPr>
      <w:tblGrid/>
      <w:tr>
        <w:trPr>
          <w:cnfStyle w:firstRow="1"/>
        </w:trPr>
        <w:tc>
          <w:tcPr>
            <w:tcBorders>
              <w:bottom w:val="single"/>
            </w:tcBorders>
            <w:vAlign w:val="bottom"/>
          </w:tcPr>
          <w:p>
            <w:pPr>
              <w:pStyle w:val="Compact"/>
              <w:jc w:val="left"/>
            </w:pPr>
            <w:r>
              <w:t xml:space="preserve">Type of for-hire trips</w:t>
            </w:r>
          </w:p>
        </w:tc>
        <w:tc>
          <w:tcPr>
            <w:tcBorders>
              <w:bottom w:val="single"/>
            </w:tcBorders>
            <w:vAlign w:val="bottom"/>
          </w:tcPr>
          <w:p>
            <w:pPr>
              <w:pStyle w:val="Compact"/>
              <w:jc w:val="right"/>
            </w:pPr>
            <w:r>
              <w:t xml:space="preserve">Number of trips sampled</w:t>
            </w:r>
          </w:p>
        </w:tc>
      </w:tr>
      <w:tr>
        <w:tc>
          <w:p>
            <w:pPr>
              <w:pStyle w:val="Compact"/>
              <w:jc w:val="left"/>
            </w:pPr>
            <w:r>
              <w:t xml:space="preserve">All Tampa Bay Region</w:t>
            </w:r>
          </w:p>
        </w:tc>
        <w:tc>
          <w:p>
            <w:pPr>
              <w:pStyle w:val="Compact"/>
              <w:jc w:val="right"/>
            </w:pPr>
            <w:r>
              <w:t xml:space="preserve">15263</w:t>
            </w:r>
          </w:p>
        </w:tc>
      </w:tr>
      <w:tr>
        <w:tc>
          <w:p>
            <w:pPr>
              <w:pStyle w:val="Compact"/>
              <w:jc w:val="left"/>
            </w:pPr>
            <w:r>
              <w:t xml:space="preserve">All Manatee County</w:t>
            </w:r>
          </w:p>
        </w:tc>
        <w:tc>
          <w:p>
            <w:pPr>
              <w:pStyle w:val="Compact"/>
              <w:jc w:val="right"/>
            </w:pPr>
            <w:r>
              <w:t xml:space="preserve">1013</w:t>
            </w:r>
          </w:p>
        </w:tc>
      </w:tr>
      <w:tr>
        <w:tc>
          <w:p>
            <w:pPr>
              <w:pStyle w:val="Compact"/>
              <w:jc w:val="left"/>
            </w:pPr>
            <w:r>
              <w:t xml:space="preserve">Manatee trips by Manatee County residents</w:t>
            </w:r>
          </w:p>
        </w:tc>
        <w:tc>
          <w:p>
            <w:pPr>
              <w:pStyle w:val="Compact"/>
              <w:jc w:val="right"/>
            </w:pPr>
            <w:r>
              <w:t xml:space="preserve">147</w:t>
            </w:r>
          </w:p>
        </w:tc>
      </w:tr>
      <w:tr>
        <w:tc>
          <w:p>
            <w:pPr>
              <w:pStyle w:val="Compact"/>
              <w:jc w:val="left"/>
            </w:pPr>
            <w:r>
              <w:t xml:space="preserve">Manatee trips by FL but not Manatee County residents</w:t>
            </w:r>
          </w:p>
        </w:tc>
        <w:tc>
          <w:p>
            <w:pPr>
              <w:pStyle w:val="Compact"/>
              <w:jc w:val="right"/>
            </w:pPr>
            <w:r>
              <w:t xml:space="preserve">291</w:t>
            </w:r>
          </w:p>
        </w:tc>
      </w:tr>
      <w:tr>
        <w:tc>
          <w:p>
            <w:pPr>
              <w:pStyle w:val="Compact"/>
              <w:jc w:val="left"/>
            </w:pPr>
            <w:r>
              <w:t xml:space="preserve">Manatee trips by non-Manatee County residents</w:t>
            </w:r>
          </w:p>
        </w:tc>
        <w:tc>
          <w:p>
            <w:pPr>
              <w:pStyle w:val="Compact"/>
              <w:jc w:val="right"/>
            </w:pPr>
            <w:r>
              <w:t xml:space="preserve">866</w:t>
            </w:r>
          </w:p>
        </w:tc>
      </w:tr>
      <w:tr>
        <w:tc>
          <w:p>
            <w:pPr>
              <w:pStyle w:val="Compact"/>
              <w:jc w:val="left"/>
            </w:pPr>
            <w:r>
              <w:t xml:space="preserve">Manatee trips by non-FL residents</w:t>
            </w:r>
          </w:p>
        </w:tc>
        <w:tc>
          <w:p>
            <w:pPr>
              <w:pStyle w:val="Compact"/>
              <w:jc w:val="right"/>
            </w:pPr>
            <w:r>
              <w:t xml:space="preserve">575</w:t>
            </w:r>
          </w:p>
        </w:tc>
      </w:tr>
    </w:tbl>
    <w:p>
      <w:pPr>
        <w:pStyle w:val="BodyText"/>
      </w:pPr>
      <w:r>
        <w:rPr>
          <w:b/>
        </w:rPr>
        <w:t xml:space="preserve">Table 5. The number of for-hire fishing trips intercepted and surveyed that were used for this report.</w:t>
      </w:r>
      <w:r>
        <w:t xml:space="preserve"> </w:t>
      </w:r>
      <w:r>
        <w:t xml:space="preserve">Note the table specifies sample sizes of for-hire trips taken to the broader Tampa Bay region as well as those taken to Manatee County. Samples sizes of for-hire trips to Manatee County are further described by origin.</w:t>
      </w:r>
    </w:p>
    <w:p>
      <w:r>
        <w:br w:type="page"/>
      </w:r>
    </w:p>
    <w:p>
      <w:pPr>
        <w:pStyle w:val="Heading3"/>
      </w:pPr>
      <w:bookmarkStart w:id="54" w:name="references"/>
      <w:r>
        <w:t xml:space="preserve">References</w:t>
      </w:r>
      <w:bookmarkEnd w:id="54"/>
    </w:p>
    <w:bookmarkStart w:id="58" w:name="refs"/>
    <w:bookmarkStart w:id="55" w:name="ref-Camp_et_al_2018"/>
    <w:p>
      <w:pPr>
        <w:pStyle w:val="Bibliography"/>
      </w:pPr>
      <w:r>
        <w:t xml:space="preserve">Camp, E.V., Ahrens R.N.M., C. Crandall, and K. Lorenzen. 2018. “Angler travel distances: Implications for spatial approaches to marine recreational fisheries governance.”</w:t>
      </w:r>
      <w:r>
        <w:t xml:space="preserve"> </w:t>
      </w:r>
      <w:r>
        <w:rPr>
          <w:i/>
        </w:rPr>
        <w:t xml:space="preserve">Marine Policy</w:t>
      </w:r>
      <w:r>
        <w:t xml:space="preserve"> </w:t>
      </w:r>
      <w:r>
        <w:t xml:space="preserve">87: 263–74.</w:t>
      </w:r>
    </w:p>
    <w:bookmarkEnd w:id="55"/>
    <w:bookmarkStart w:id="56" w:name="ref-NOAA_2017"/>
    <w:p>
      <w:pPr>
        <w:pStyle w:val="Bibliography"/>
      </w:pPr>
      <w:r>
        <w:t xml:space="preserve">NOAA, National Marine Fisheries Service. 2017. “Fisheries Economics of the United States, 2015.” NOAA Tech. Memo. NMFS-F/SPO-170. U.S. Depart. of Commerce.</w:t>
      </w:r>
    </w:p>
    <w:bookmarkEnd w:id="56"/>
    <w:bookmarkStart w:id="57" w:name="ref-USFWS_2011"/>
    <w:p>
      <w:pPr>
        <w:pStyle w:val="Bibliography"/>
      </w:pPr>
      <w:r>
        <w:t xml:space="preserve">USFWS, U.S. Fish Wildlife Service. 2011. “National Survey of Fishing, Hunting, and Wildlife-Associated Recreation.” U.S. Depart. of Commerce.</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51" Type="http://schemas.openxmlformats.org/officeDocument/2006/relationships/image" Target="media/rId51.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collins@ufl.edu" TargetMode="External"/><Relationship Id="rId7" Type="http://schemas.openxmlformats.org/officeDocument/2006/relationships/footnotes" Target="footnotes.xml"/><Relationship Id="rId2" Type="http://schemas.openxmlformats.org/officeDocument/2006/relationships/styles" Target="styles.xml"/><Relationship Id="rId41" Type="http://schemas.openxmlformats.org/officeDocument/2006/relationships/image" Target="media/rId41.png"/><Relationship Id="rId29" Type="http://schemas.openxmlformats.org/officeDocument/2006/relationships/hyperlink" Target="https://www.fisheries.noaa.gov/recreational-fishing-data/public-access-fishing-site-register" TargetMode="External"/><Relationship Id="rId20" Type="http://schemas.openxmlformats.org/officeDocument/2006/relationships/hyperlink" Target="mailto:edvcamp@ufl.edu" TargetMode="External"/><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24" Type="http://schemas.openxmlformats.org/officeDocument/2006/relationships/hyperlink" Target="https://www.fisheries.noaa.gov/recreational-fishing-data/data-downloads" TargetMode="External"/><Relationship Id="rId53" Type="http://schemas.openxmlformats.org/officeDocument/2006/relationships/customXml" Target="../customXml/item2.xml"/><Relationship Id="rId5" Type="http://schemas.openxmlformats.org/officeDocument/2006/relationships/fontTable" Target="fontTable.xml"/><Relationship Id="rId52" Type="http://schemas.openxmlformats.org/officeDocument/2006/relationships/customXml" Target="../customXml/item1.xml"/><Relationship Id="rId4" Type="http://schemas.openxmlformats.org/officeDocument/2006/relationships/webSettings" Target="webSettings.xml"/><Relationship Id="rId35" Type="http://schemas.openxmlformats.org/officeDocument/2006/relationships/image" Target="media/rId35.png"/><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s>
</file>

<file path=word/_rels/footnotes.xml.rels><?xml version="1.0" encoding="UTF-8"?>
<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9" Target="https://www.fisheries.noaa.gov/recreational-fishing-data/public-access-fishing-site-register"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collin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70B57D-706E-4D0B-85EB-46E02DAD5014}"/>
</file>

<file path=customXml/itemProps2.xml><?xml version="1.0" encoding="utf-8"?>
<ds:datastoreItem xmlns:ds="http://schemas.openxmlformats.org/officeDocument/2006/customXml" ds:itemID="{68223E49-27A6-46A7-975C-213922036F1F}"/>
</file>

<file path=customXml/itemProps3.xml><?xml version="1.0" encoding="utf-8"?>
<ds:datastoreItem xmlns:ds="http://schemas.openxmlformats.org/officeDocument/2006/customXml" ds:itemID="{D9420122-23B5-4A95-B8F3-BC0DA1A17FC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Manatee County</dc:title>
  <dc:creator>A data report for the Manatee County Tourist Development Council, Chamber of Commerce, and Board of County Commissioners and the Anna Maria Island Chamber of Commerce prepared by:; Ed Camp, Assistant Professor of Fisheries and Aquaculture Governance, University of Florida, edvcamp@ufl.edu; Angela Collins, Florida Sea Grant Extension Agent Manatee and Hillsborough Counties, abcollins@ufl.edu</dc:creator>
  <cp:keywords/>
  <dcterms:created xsi:type="dcterms:W3CDTF">2023-01-20T13:03:06Z</dcterms:created>
  <dcterms:modified xsi:type="dcterms:W3CDTF">2023-01-20T13:03:06Z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